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CE23B2"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 xml:space="preserve">Press release dated </w:t>
      </w:r>
      <w:r w:rsidR="00615FA8">
        <w:rPr>
          <w:rFonts w:ascii="Arial" w:hAnsi="Arial"/>
          <w:sz w:val="20"/>
        </w:rPr>
        <w:t>September 13</w:t>
      </w:r>
      <w:bookmarkStart w:id="0" w:name="_GoBack"/>
      <w:bookmarkEnd w:id="0"/>
      <w:r>
        <w:rPr>
          <w:rFonts w:ascii="Arial" w:hAnsi="Arial"/>
          <w:sz w:val="20"/>
        </w:rPr>
        <w:t>, 2022</w:t>
      </w:r>
    </w:p>
    <w:p w:rsidR="00D335FC" w:rsidRPr="00CE23B2"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CE23B2" w:rsidRDefault="006E6820" w:rsidP="00E6620E">
      <w:pPr>
        <w:suppressLineNumbers/>
        <w:ind w:left="142"/>
        <w:outlineLvl w:val="0"/>
        <w:rPr>
          <w:rFonts w:ascii="Arial" w:hAnsi="Arial" w:cs="Arial"/>
          <w:sz w:val="20"/>
          <w:szCs w:val="20"/>
        </w:rPr>
      </w:pPr>
    </w:p>
    <w:p w:rsidR="000A3F93" w:rsidRPr="00CE23B2" w:rsidRDefault="0036688A" w:rsidP="0036688A">
      <w:pPr>
        <w:pStyle w:val="berschrift32"/>
        <w:suppressLineNumbers/>
        <w:shd w:val="clear" w:color="auto" w:fill="FFFFFF"/>
        <w:tabs>
          <w:tab w:val="left" w:pos="6237"/>
        </w:tabs>
        <w:spacing w:after="240" w:line="360" w:lineRule="auto"/>
        <w:ind w:left="142" w:right="1690"/>
        <w:rPr>
          <w:rFonts w:ascii="Arial" w:hAnsi="Arial" w:cs="Arial"/>
          <w:color w:val="auto"/>
          <w:sz w:val="36"/>
          <w:szCs w:val="36"/>
        </w:rPr>
      </w:pPr>
      <w:r>
        <w:rPr>
          <w:rFonts w:ascii="Arial" w:hAnsi="Arial"/>
          <w:color w:val="auto"/>
          <w:sz w:val="36"/>
        </w:rPr>
        <w:t xml:space="preserve">INDEX G220: </w:t>
      </w:r>
      <w:r>
        <w:rPr>
          <w:rFonts w:ascii="Arial" w:hAnsi="Arial"/>
          <w:color w:val="auto"/>
          <w:sz w:val="36"/>
        </w:rPr>
        <w:br/>
      </w:r>
      <w:r w:rsidR="003E2890">
        <w:rPr>
          <w:rFonts w:ascii="Arial" w:hAnsi="Arial"/>
          <w:color w:val="auto"/>
          <w:sz w:val="36"/>
        </w:rPr>
        <w:t>Efficient complete machining</w:t>
      </w:r>
    </w:p>
    <w:p w:rsidR="00A571E4" w:rsidRPr="00CE23B2" w:rsidRDefault="00A571E4" w:rsidP="00422AE3">
      <w:pPr>
        <w:spacing w:after="200" w:line="360" w:lineRule="auto"/>
        <w:ind w:left="142"/>
        <w:jc w:val="both"/>
        <w:rPr>
          <w:rFonts w:ascii="Arial" w:eastAsiaTheme="minorHAnsi" w:hAnsi="Arial" w:cs="Arial"/>
          <w:b/>
          <w:sz w:val="20"/>
          <w:szCs w:val="20"/>
        </w:rPr>
      </w:pPr>
      <w:r>
        <w:rPr>
          <w:rFonts w:ascii="Arial" w:hAnsi="Arial"/>
          <w:b/>
          <w:sz w:val="20"/>
        </w:rPr>
        <w:t>The new generation of the INDEX G220 turn-mill center has arrived and, as of now, is extending the INDEX product range. Wi</w:t>
      </w:r>
      <w:r w:rsidR="00040980">
        <w:rPr>
          <w:rFonts w:ascii="Arial" w:hAnsi="Arial"/>
          <w:b/>
          <w:sz w:val="20"/>
        </w:rPr>
        <w:t>th a 76 mm spindle clearance, 23</w:t>
      </w:r>
      <w:r>
        <w:rPr>
          <w:rFonts w:ascii="Arial" w:hAnsi="Arial"/>
          <w:b/>
          <w:sz w:val="20"/>
        </w:rPr>
        <w:t>0 mm chuck diameter and a turning length of 900 mm, this size rounds off the completely redesigned G-series by adding a product of smaller dimensions.</w:t>
      </w:r>
    </w:p>
    <w:p w:rsidR="001622BB" w:rsidRPr="00CE23B2" w:rsidRDefault="001622BB" w:rsidP="00422AE3">
      <w:pPr>
        <w:spacing w:after="200" w:line="360" w:lineRule="auto"/>
        <w:ind w:left="142"/>
        <w:jc w:val="both"/>
        <w:rPr>
          <w:rFonts w:ascii="Arial" w:eastAsiaTheme="minorHAnsi" w:hAnsi="Arial" w:cs="Arial"/>
          <w:b/>
          <w:sz w:val="20"/>
          <w:szCs w:val="20"/>
          <w:lang w:eastAsia="en-US"/>
        </w:rPr>
      </w:pPr>
    </w:p>
    <w:p w:rsidR="009B3B4B" w:rsidRDefault="00AF7EC9" w:rsidP="00357C65">
      <w:pPr>
        <w:spacing w:after="200" w:line="360" w:lineRule="auto"/>
        <w:ind w:left="142"/>
        <w:jc w:val="both"/>
        <w:rPr>
          <w:rFonts w:ascii="Arial" w:eastAsiaTheme="minorHAnsi" w:hAnsi="Arial" w:cs="Arial"/>
          <w:sz w:val="20"/>
          <w:szCs w:val="20"/>
        </w:rPr>
      </w:pPr>
      <w:r>
        <w:rPr>
          <w:rFonts w:ascii="Arial" w:hAnsi="Arial"/>
          <w:sz w:val="20"/>
        </w:rPr>
        <w:t xml:space="preserve">For many metalworkers, complete machining is the process of choice </w:t>
      </w:r>
      <w:proofErr w:type="gramStart"/>
      <w:r>
        <w:rPr>
          <w:rFonts w:ascii="Arial" w:hAnsi="Arial"/>
          <w:sz w:val="20"/>
        </w:rPr>
        <w:t>to economically accommodate</w:t>
      </w:r>
      <w:proofErr w:type="gramEnd"/>
      <w:r>
        <w:rPr>
          <w:rFonts w:ascii="Arial" w:hAnsi="Arial"/>
          <w:sz w:val="20"/>
        </w:rPr>
        <w:t xml:space="preserve"> a higher number of variants, greater performance density with smaller dimensions and increased quality requirements. </w:t>
      </w:r>
      <w:proofErr w:type="gramStart"/>
      <w:r>
        <w:rPr>
          <w:rFonts w:ascii="Arial" w:hAnsi="Arial"/>
          <w:sz w:val="20"/>
        </w:rPr>
        <w:t>For INDEX, this was the deciding factor that prompted a complete redesign of the G-series turn-mill centers, taking them to a level deserving the distinction “a class of their own”.</w:t>
      </w:r>
      <w:proofErr w:type="gramEnd"/>
    </w:p>
    <w:p w:rsidR="00AF7EC9" w:rsidRPr="00BD28CD" w:rsidRDefault="009B3B4B" w:rsidP="00357C65">
      <w:pPr>
        <w:spacing w:after="200" w:line="360" w:lineRule="auto"/>
        <w:ind w:left="142"/>
        <w:jc w:val="both"/>
        <w:rPr>
          <w:rFonts w:ascii="Arial" w:eastAsiaTheme="minorHAnsi" w:hAnsi="Arial" w:cs="Arial"/>
          <w:sz w:val="20"/>
          <w:szCs w:val="20"/>
        </w:rPr>
      </w:pPr>
      <w:r>
        <w:rPr>
          <w:rFonts w:ascii="Arial" w:hAnsi="Arial"/>
          <w:sz w:val="20"/>
        </w:rPr>
        <w:t xml:space="preserve">The story starts in 2018, featuring the INDEX G420, which has quickly become an excellent sales success. 2019 saw the larger, more powerful variant INDEX G520 </w:t>
      </w:r>
      <w:proofErr w:type="gramStart"/>
      <w:r>
        <w:rPr>
          <w:rFonts w:ascii="Arial" w:hAnsi="Arial"/>
          <w:sz w:val="20"/>
        </w:rPr>
        <w:t>following in its footsteps</w:t>
      </w:r>
      <w:proofErr w:type="gramEnd"/>
      <w:r>
        <w:rPr>
          <w:rFonts w:ascii="Arial" w:hAnsi="Arial"/>
          <w:sz w:val="20"/>
        </w:rPr>
        <w:t>, while the somewhat smaller G320 launched in 2021. Now, in the spring of 2022, INDEX is introducing the smallest model of these powerful turn-mill centers, the G220.</w:t>
      </w:r>
    </w:p>
    <w:p w:rsidR="00357C65" w:rsidRPr="00BD28CD" w:rsidRDefault="00047E88" w:rsidP="00357C65">
      <w:pPr>
        <w:spacing w:after="200" w:line="360" w:lineRule="auto"/>
        <w:ind w:left="142"/>
        <w:jc w:val="both"/>
        <w:rPr>
          <w:rFonts w:ascii="Arial" w:eastAsiaTheme="minorHAnsi" w:hAnsi="Arial" w:cs="Arial"/>
          <w:sz w:val="20"/>
          <w:szCs w:val="20"/>
        </w:rPr>
      </w:pPr>
      <w:r>
        <w:rPr>
          <w:rFonts w:ascii="Arial" w:hAnsi="Arial"/>
          <w:sz w:val="20"/>
        </w:rPr>
        <w:t xml:space="preserve">The success of the new INDEX turn-mill centers can primarily be attributed to the whole concept of the machine design: Based on a rigid, vibration-damping machine bed in a mineral cast block design and using generously dimensioned linear guides in the X and </w:t>
      </w:r>
      <w:proofErr w:type="gramStart"/>
      <w:r>
        <w:rPr>
          <w:rFonts w:ascii="Arial" w:hAnsi="Arial"/>
          <w:sz w:val="20"/>
        </w:rPr>
        <w:t>Z axes</w:t>
      </w:r>
      <w:proofErr w:type="gramEnd"/>
      <w:r>
        <w:rPr>
          <w:rFonts w:ascii="Arial" w:hAnsi="Arial"/>
          <w:sz w:val="20"/>
        </w:rPr>
        <w:t xml:space="preserve">, the new G220 offers ideal stability and damping properties and also dynamic values. </w:t>
      </w:r>
      <w:proofErr w:type="gramStart"/>
      <w:r>
        <w:rPr>
          <w:rFonts w:ascii="Arial" w:hAnsi="Arial"/>
          <w:sz w:val="20"/>
        </w:rPr>
        <w:t>All this</w:t>
      </w:r>
      <w:proofErr w:type="gramEnd"/>
      <w:r>
        <w:rPr>
          <w:rFonts w:ascii="Arial" w:hAnsi="Arial"/>
          <w:sz w:val="20"/>
        </w:rPr>
        <w:t xml:space="preserve"> means that top machining results are guaranteed at the same time as high productivity is achieved.</w:t>
      </w:r>
    </w:p>
    <w:p w:rsidR="000E425B" w:rsidRPr="00EF4662" w:rsidRDefault="00EE6A90" w:rsidP="00357C65">
      <w:pPr>
        <w:spacing w:after="200" w:line="360" w:lineRule="auto"/>
        <w:ind w:left="142"/>
        <w:jc w:val="both"/>
        <w:rPr>
          <w:rFonts w:ascii="Arial" w:eastAsiaTheme="minorHAnsi" w:hAnsi="Arial" w:cs="Arial"/>
          <w:sz w:val="20"/>
          <w:szCs w:val="20"/>
        </w:rPr>
      </w:pPr>
      <w:r>
        <w:rPr>
          <w:rFonts w:ascii="Arial" w:hAnsi="Arial"/>
          <w:sz w:val="20"/>
        </w:rPr>
        <w:t xml:space="preserve">A key element is the </w:t>
      </w:r>
      <w:proofErr w:type="gramStart"/>
      <w:r>
        <w:rPr>
          <w:rFonts w:ascii="Arial" w:hAnsi="Arial"/>
          <w:sz w:val="20"/>
        </w:rPr>
        <w:t>Z axis</w:t>
      </w:r>
      <w:proofErr w:type="gramEnd"/>
      <w:r>
        <w:rPr>
          <w:rFonts w:ascii="Arial" w:hAnsi="Arial"/>
          <w:sz w:val="20"/>
        </w:rPr>
        <w:t xml:space="preserve"> slide with the motorized milling spindle and the </w:t>
      </w:r>
      <w:proofErr w:type="spellStart"/>
      <w:r>
        <w:rPr>
          <w:rFonts w:ascii="Arial" w:hAnsi="Arial"/>
          <w:sz w:val="20"/>
        </w:rPr>
        <w:t>hydrodynamically</w:t>
      </w:r>
      <w:proofErr w:type="spellEnd"/>
      <w:r>
        <w:rPr>
          <w:rFonts w:ascii="Arial" w:hAnsi="Arial"/>
          <w:sz w:val="20"/>
        </w:rPr>
        <w:t xml:space="preserve"> mounted Y/B axis arranged above the axis of rotation. The powerful spindle drive (</w:t>
      </w:r>
      <w:r w:rsidR="00040980">
        <w:rPr>
          <w:rFonts w:ascii="Arial" w:hAnsi="Arial"/>
          <w:sz w:val="20"/>
        </w:rPr>
        <w:t>40</w:t>
      </w:r>
      <w:r>
        <w:rPr>
          <w:rFonts w:ascii="Arial" w:hAnsi="Arial"/>
          <w:sz w:val="20"/>
        </w:rPr>
        <w:t xml:space="preserve"> kW, </w:t>
      </w:r>
      <w:r w:rsidR="00040980">
        <w:rPr>
          <w:rFonts w:ascii="Arial" w:hAnsi="Arial"/>
          <w:sz w:val="20"/>
        </w:rPr>
        <w:t>207</w:t>
      </w:r>
      <w:r>
        <w:rPr>
          <w:rFonts w:ascii="Arial" w:hAnsi="Arial"/>
          <w:sz w:val="20"/>
        </w:rPr>
        <w:t> Nm, 6,000 rpm (</w:t>
      </w:r>
      <w:r w:rsidR="00040980">
        <w:rPr>
          <w:rFonts w:ascii="Arial" w:hAnsi="Arial"/>
          <w:sz w:val="20"/>
        </w:rPr>
        <w:t>40</w:t>
      </w:r>
      <w:r>
        <w:rPr>
          <w:rFonts w:ascii="Arial" w:hAnsi="Arial"/>
          <w:sz w:val="20"/>
        </w:rPr>
        <w:t xml:space="preserve">% DC)) facilitates a wide range of drilling and milling operations, up to as much as five-axis machining. During machining, the milling spindle operates with a tool magazine with space for up to 139 tools (HSK-T63 or HSK-T40). It stands out particularly because of its enormous ease of setup. Next to the usual setup station located at the front, further access to the two tool chains </w:t>
      </w:r>
      <w:proofErr w:type="gramStart"/>
      <w:r>
        <w:rPr>
          <w:rFonts w:ascii="Arial" w:hAnsi="Arial"/>
          <w:sz w:val="20"/>
        </w:rPr>
        <w:t>can be found</w:t>
      </w:r>
      <w:proofErr w:type="gramEnd"/>
      <w:r>
        <w:rPr>
          <w:rFonts w:ascii="Arial" w:hAnsi="Arial"/>
          <w:sz w:val="20"/>
        </w:rPr>
        <w:t xml:space="preserve"> at the rear of the magazine. This is where the operator can re-tool the one chain while the other one is in use.</w:t>
      </w:r>
    </w:p>
    <w:p w:rsidR="00F042F3" w:rsidRPr="00BD28CD" w:rsidRDefault="00B0695E" w:rsidP="00357C65">
      <w:pPr>
        <w:spacing w:after="200" w:line="360" w:lineRule="auto"/>
        <w:ind w:left="142"/>
        <w:jc w:val="both"/>
        <w:rPr>
          <w:rFonts w:ascii="Arial" w:eastAsiaTheme="minorHAnsi" w:hAnsi="Arial" w:cs="Arial"/>
          <w:sz w:val="20"/>
          <w:szCs w:val="20"/>
        </w:rPr>
      </w:pPr>
      <w:r>
        <w:rPr>
          <w:rFonts w:ascii="Arial" w:hAnsi="Arial"/>
          <w:sz w:val="20"/>
        </w:rPr>
        <w:lastRenderedPageBreak/>
        <w:t xml:space="preserve">The two tool turrets arranged at the bottom are also responsible for efficient machining performance. These are not only able to move in the X and Z directions, but also in the Y direction. Each of their 12 or 15 stations can be continuously equipped with live tools. </w:t>
      </w:r>
    </w:p>
    <w:p w:rsidR="002E23FD" w:rsidRPr="00BD28CD" w:rsidRDefault="0056193E" w:rsidP="002E23FD">
      <w:pPr>
        <w:spacing w:after="200" w:line="360" w:lineRule="auto"/>
        <w:ind w:left="142"/>
        <w:jc w:val="both"/>
        <w:rPr>
          <w:rFonts w:ascii="Arial" w:eastAsiaTheme="minorHAnsi" w:hAnsi="Arial" w:cs="Arial"/>
          <w:sz w:val="20"/>
          <w:szCs w:val="20"/>
        </w:rPr>
      </w:pPr>
      <w:r>
        <w:rPr>
          <w:rFonts w:ascii="Arial" w:hAnsi="Arial"/>
          <w:sz w:val="20"/>
        </w:rPr>
        <w:t xml:space="preserve">The INDEX G220 has a maximum turning length of 900 mm. The two identical work spindles (main and counter spindles) are fluid-cooled and provide a spindle clearance of 76 mm at 6,000 rpm. They are powerful and highly dynamic </w:t>
      </w:r>
      <w:r w:rsidR="00040980">
        <w:rPr>
          <w:rFonts w:ascii="Arial" w:hAnsi="Arial"/>
          <w:sz w:val="20"/>
        </w:rPr>
        <w:t>40</w:t>
      </w:r>
      <w:r>
        <w:rPr>
          <w:rFonts w:ascii="Arial" w:hAnsi="Arial"/>
          <w:sz w:val="20"/>
        </w:rPr>
        <w:t xml:space="preserve"> kW; torque </w:t>
      </w:r>
      <w:r w:rsidR="00040980">
        <w:rPr>
          <w:rFonts w:ascii="Arial" w:hAnsi="Arial"/>
          <w:sz w:val="20"/>
        </w:rPr>
        <w:t>207</w:t>
      </w:r>
      <w:r>
        <w:rPr>
          <w:rFonts w:ascii="Arial" w:hAnsi="Arial"/>
          <w:sz w:val="20"/>
        </w:rPr>
        <w:t xml:space="preserve"> Nm (at </w:t>
      </w:r>
      <w:r w:rsidR="00040980">
        <w:rPr>
          <w:rFonts w:ascii="Arial" w:hAnsi="Arial"/>
          <w:sz w:val="20"/>
        </w:rPr>
        <w:t>40</w:t>
      </w:r>
      <w:r>
        <w:rPr>
          <w:rFonts w:ascii="Arial" w:hAnsi="Arial"/>
          <w:sz w:val="20"/>
        </w:rPr>
        <w:t>% DC).</w:t>
      </w:r>
    </w:p>
    <w:p w:rsidR="00A833A4" w:rsidRDefault="006177B8" w:rsidP="00357C65">
      <w:pPr>
        <w:spacing w:after="200" w:line="360" w:lineRule="auto"/>
        <w:ind w:left="142"/>
        <w:jc w:val="both"/>
        <w:rPr>
          <w:rFonts w:ascii="Arial" w:eastAsiaTheme="minorHAnsi" w:hAnsi="Arial" w:cs="Arial"/>
          <w:sz w:val="20"/>
          <w:szCs w:val="20"/>
        </w:rPr>
      </w:pPr>
      <w:proofErr w:type="gramStart"/>
      <w:r>
        <w:rPr>
          <w:rFonts w:ascii="Arial" w:hAnsi="Arial"/>
          <w:sz w:val="20"/>
        </w:rPr>
        <w:t>And</w:t>
      </w:r>
      <w:proofErr w:type="gramEnd"/>
      <w:r>
        <w:rPr>
          <w:rFonts w:ascii="Arial" w:hAnsi="Arial"/>
          <w:sz w:val="20"/>
        </w:rPr>
        <w:t xml:space="preserve"> here comes an important detail: Thanks to the large working area and the distance between the main and counter spindles, simultaneous machining is possible with the motorized milling spindle and the tool turrets at the main and counter spindles with no risk of collision. The option to lower the tool turrets also makes it possible to avoid and thus defuse situations that could risk collision.</w:t>
      </w:r>
    </w:p>
    <w:p w:rsidR="00E115FC" w:rsidRPr="00BD28CD" w:rsidRDefault="006177B8" w:rsidP="00357C65">
      <w:pPr>
        <w:spacing w:after="200" w:line="360" w:lineRule="auto"/>
        <w:ind w:left="142"/>
        <w:jc w:val="both"/>
        <w:rPr>
          <w:rFonts w:ascii="Arial" w:eastAsiaTheme="minorHAnsi" w:hAnsi="Arial" w:cs="Arial"/>
          <w:sz w:val="20"/>
          <w:szCs w:val="20"/>
        </w:rPr>
      </w:pPr>
      <w:proofErr w:type="gramStart"/>
      <w:r>
        <w:rPr>
          <w:rFonts w:ascii="Arial" w:hAnsi="Arial"/>
          <w:sz w:val="20"/>
        </w:rPr>
        <w:t>And</w:t>
      </w:r>
      <w:proofErr w:type="gramEnd"/>
      <w:r>
        <w:rPr>
          <w:rFonts w:ascii="Arial" w:hAnsi="Arial"/>
          <w:sz w:val="20"/>
        </w:rPr>
        <w:t xml:space="preserve"> it goes without saying that INDEX also offers a variety of automation options for the turn-mill center. One such option deserving a particular mention is the new INDEX MBL 76 bar loader. Tailored to match the new machine design </w:t>
      </w:r>
      <w:proofErr w:type="gramStart"/>
      <w:r>
        <w:rPr>
          <w:rFonts w:ascii="Arial" w:hAnsi="Arial"/>
          <w:sz w:val="20"/>
        </w:rPr>
        <w:t>and also</w:t>
      </w:r>
      <w:proofErr w:type="gramEnd"/>
      <w:r>
        <w:rPr>
          <w:rFonts w:ascii="Arial" w:hAnsi="Arial"/>
          <w:sz w:val="20"/>
        </w:rPr>
        <w:t xml:space="preserve"> the new turning spindle diameter, this bar loader stands out in sharp relief because of its excellent damping properties. </w:t>
      </w:r>
      <w:bookmarkStart w:id="1" w:name="_Hlk95377014"/>
      <w:r>
        <w:rPr>
          <w:rFonts w:ascii="Arial" w:hAnsi="Arial"/>
          <w:sz w:val="20"/>
        </w:rPr>
        <w:t xml:space="preserve">It </w:t>
      </w:r>
      <w:proofErr w:type="gramStart"/>
      <w:r>
        <w:rPr>
          <w:rFonts w:ascii="Arial" w:hAnsi="Arial"/>
          <w:sz w:val="20"/>
        </w:rPr>
        <w:t>is purely electrically powered</w:t>
      </w:r>
      <w:proofErr w:type="gramEnd"/>
      <w:r>
        <w:rPr>
          <w:rFonts w:ascii="Arial" w:hAnsi="Arial"/>
          <w:sz w:val="20"/>
        </w:rPr>
        <w:t xml:space="preserve">, which means it is completely hydraulic-free. Its ergonomic and easy-to-set-up structure and, of course, its high precision factor are ready to impress </w:t>
      </w:r>
      <w:proofErr w:type="gramStart"/>
      <w:r>
        <w:rPr>
          <w:rFonts w:ascii="Arial" w:hAnsi="Arial"/>
          <w:sz w:val="20"/>
        </w:rPr>
        <w:t>one and all</w:t>
      </w:r>
      <w:proofErr w:type="gramEnd"/>
      <w:r>
        <w:rPr>
          <w:rFonts w:ascii="Arial" w:hAnsi="Arial"/>
          <w:sz w:val="20"/>
        </w:rPr>
        <w:t xml:space="preserve">. </w:t>
      </w:r>
      <w:proofErr w:type="gramStart"/>
      <w:r>
        <w:rPr>
          <w:rFonts w:ascii="Arial" w:hAnsi="Arial"/>
          <w:sz w:val="20"/>
        </w:rPr>
        <w:t>Last but not least</w:t>
      </w:r>
      <w:proofErr w:type="gramEnd"/>
      <w:r>
        <w:rPr>
          <w:rFonts w:ascii="Arial" w:hAnsi="Arial"/>
          <w:sz w:val="20"/>
        </w:rPr>
        <w:t>, it achieves faster change times than has been the case up to now with the MBL 65.</w:t>
      </w:r>
      <w:bookmarkEnd w:id="1"/>
      <w:r>
        <w:rPr>
          <w:rFonts w:ascii="Arial" w:hAnsi="Arial"/>
          <w:sz w:val="20"/>
        </w:rPr>
        <w:t xml:space="preserve"> An integrated gantry-type loader with a double gripper and/or the </w:t>
      </w:r>
      <w:proofErr w:type="spellStart"/>
      <w:r>
        <w:rPr>
          <w:rFonts w:ascii="Arial" w:hAnsi="Arial"/>
          <w:sz w:val="20"/>
        </w:rPr>
        <w:t>iXcenter</w:t>
      </w:r>
      <w:proofErr w:type="spellEnd"/>
      <w:r>
        <w:rPr>
          <w:rFonts w:ascii="Arial" w:hAnsi="Arial"/>
          <w:sz w:val="20"/>
        </w:rPr>
        <w:t xml:space="preserve"> robot cell </w:t>
      </w:r>
      <w:proofErr w:type="gramStart"/>
      <w:r>
        <w:rPr>
          <w:rFonts w:ascii="Arial" w:hAnsi="Arial"/>
          <w:sz w:val="20"/>
        </w:rPr>
        <w:t>can be used</w:t>
      </w:r>
      <w:proofErr w:type="gramEnd"/>
      <w:r>
        <w:rPr>
          <w:rFonts w:ascii="Arial" w:hAnsi="Arial"/>
          <w:sz w:val="20"/>
        </w:rPr>
        <w:t xml:space="preserve"> to deal with flange or shaft-style parts. The control system is a modified Siemens S 840D SL, which </w:t>
      </w:r>
      <w:proofErr w:type="gramStart"/>
      <w:r>
        <w:rPr>
          <w:rFonts w:ascii="Arial" w:hAnsi="Arial"/>
          <w:sz w:val="20"/>
        </w:rPr>
        <w:t>can be operated</w:t>
      </w:r>
      <w:proofErr w:type="gramEnd"/>
      <w:r>
        <w:rPr>
          <w:rFonts w:ascii="Arial" w:hAnsi="Arial"/>
          <w:sz w:val="20"/>
        </w:rPr>
        <w:t xml:space="preserve"> in the user-friendly way via the INDEX </w:t>
      </w:r>
      <w:proofErr w:type="spellStart"/>
      <w:r>
        <w:rPr>
          <w:rFonts w:ascii="Arial" w:hAnsi="Arial"/>
          <w:sz w:val="20"/>
        </w:rPr>
        <w:t>iXpanel</w:t>
      </w:r>
      <w:proofErr w:type="spellEnd"/>
      <w:r>
        <w:rPr>
          <w:rFonts w:ascii="Arial" w:hAnsi="Arial"/>
          <w:sz w:val="20"/>
        </w:rPr>
        <w:t xml:space="preserve"> cockpit solution.</w:t>
      </w:r>
    </w:p>
    <w:p w:rsidR="00CE23B2" w:rsidRPr="00BD28CD" w:rsidRDefault="00CE23B2" w:rsidP="00357C65">
      <w:pPr>
        <w:spacing w:after="200" w:line="360" w:lineRule="auto"/>
        <w:ind w:left="142"/>
        <w:jc w:val="both"/>
        <w:rPr>
          <w:rFonts w:ascii="Arial" w:eastAsiaTheme="minorHAnsi" w:hAnsi="Arial" w:cs="Arial"/>
          <w:sz w:val="20"/>
          <w:szCs w:val="20"/>
          <w:lang w:eastAsia="en-US"/>
        </w:rPr>
      </w:pPr>
    </w:p>
    <w:p w:rsidR="00357C65" w:rsidRPr="00BD28CD" w:rsidRDefault="00464E34" w:rsidP="00357C65">
      <w:pPr>
        <w:spacing w:after="200" w:line="360" w:lineRule="auto"/>
        <w:ind w:left="142"/>
        <w:jc w:val="both"/>
        <w:rPr>
          <w:rFonts w:ascii="Arial" w:eastAsiaTheme="minorHAnsi" w:hAnsi="Arial" w:cs="Arial"/>
          <w:b/>
          <w:bCs/>
          <w:sz w:val="20"/>
          <w:szCs w:val="20"/>
        </w:rPr>
      </w:pPr>
      <w:r>
        <w:rPr>
          <w:rFonts w:ascii="Arial" w:hAnsi="Arial"/>
          <w:b/>
          <w:sz w:val="20"/>
        </w:rPr>
        <w:t>Key features of the INDEX G220:</w:t>
      </w:r>
    </w:p>
    <w:p w:rsidR="00A833A4" w:rsidRPr="00184FBF"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Smart working area concept and variable machining options for turning lengths up to 900 mm</w:t>
      </w:r>
    </w:p>
    <w:p w:rsidR="00A833A4" w:rsidRPr="00184FBF"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 xml:space="preserve">Identical main and counter spindles with 76 mm spindle clearance, </w:t>
      </w:r>
      <w:r w:rsidR="00040980">
        <w:rPr>
          <w:rFonts w:ascii="Arial" w:hAnsi="Arial"/>
          <w:sz w:val="20"/>
        </w:rPr>
        <w:t>207</w:t>
      </w:r>
      <w:r>
        <w:rPr>
          <w:rFonts w:ascii="Arial" w:hAnsi="Arial"/>
          <w:sz w:val="20"/>
        </w:rPr>
        <w:t xml:space="preserve"> Nm torque (</w:t>
      </w:r>
      <w:r w:rsidR="00040980">
        <w:rPr>
          <w:rFonts w:ascii="Arial" w:hAnsi="Arial"/>
          <w:sz w:val="20"/>
        </w:rPr>
        <w:t>40</w:t>
      </w:r>
      <w:r>
        <w:rPr>
          <w:rFonts w:ascii="Arial" w:hAnsi="Arial"/>
          <w:sz w:val="20"/>
        </w:rPr>
        <w:t>% DC) at 6,000 rpm</w:t>
      </w:r>
    </w:p>
    <w:p w:rsidR="00A833A4" w:rsidRPr="00184FBF" w:rsidRDefault="00040980"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Max. chuck diameter 23</w:t>
      </w:r>
      <w:r w:rsidR="00A833A4">
        <w:rPr>
          <w:rFonts w:ascii="Arial" w:hAnsi="Arial"/>
          <w:sz w:val="20"/>
        </w:rPr>
        <w:t>0 mm</w:t>
      </w:r>
    </w:p>
    <w:p w:rsidR="00464E34" w:rsidRPr="00184FBF" w:rsidRDefault="00464E34"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Powerful motorized milling spindle with proven Y/B quill kinematics for complex 5-axis milling operations</w:t>
      </w:r>
    </w:p>
    <w:p w:rsidR="003E6564" w:rsidRPr="00EF4662" w:rsidRDefault="00464E34" w:rsidP="00F36F8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Two lower tool carriers, each with 12 stations VDI30 or 15 stations VDI25</w:t>
      </w:r>
    </w:p>
    <w:p w:rsidR="00357C65" w:rsidRPr="00EF4662" w:rsidRDefault="00357C65"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High thermal and mechanical stability</w:t>
      </w:r>
    </w:p>
    <w:p w:rsidR="00184FBF" w:rsidRPr="00EF4662" w:rsidRDefault="00184FBF" w:rsidP="00184FB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A second setup station for the tool magazine</w:t>
      </w:r>
    </w:p>
    <w:p w:rsidR="00184FBF" w:rsidRPr="00EF4662" w:rsidRDefault="00184FBF" w:rsidP="00184FB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Wide range of automation options</w:t>
      </w:r>
    </w:p>
    <w:p w:rsidR="00F32C8A" w:rsidRPr="00D335FC" w:rsidRDefault="00F32C8A" w:rsidP="00F32C8A">
      <w:pPr>
        <w:suppressLineNumbers/>
        <w:spacing w:line="336" w:lineRule="auto"/>
        <w:ind w:left="142" w:right="1843"/>
        <w:rPr>
          <w:rFonts w:ascii="Arial" w:hAnsi="Arial" w:cs="Arial"/>
          <w:sz w:val="20"/>
          <w:szCs w:val="20"/>
        </w:rPr>
      </w:pPr>
    </w:p>
    <w:p w:rsidR="00F32C8A" w:rsidRPr="00C726C6" w:rsidRDefault="00F32C8A" w:rsidP="00F32C8A">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t>
      </w:r>
      <w:proofErr w:type="spellStart"/>
      <w:r>
        <w:rPr>
          <w:rFonts w:ascii="Arial" w:hAnsi="Arial"/>
          <w:sz w:val="20"/>
        </w:rPr>
        <w:t>Werke</w:t>
      </w:r>
      <w:proofErr w:type="spellEnd"/>
      <w:r>
        <w:rPr>
          <w:rFonts w:ascii="Arial" w:hAnsi="Arial"/>
          <w:sz w:val="20"/>
        </w:rPr>
        <w:t xml:space="preserve"> GmbH &amp; Co. KG Hahn &amp; </w:t>
      </w:r>
      <w:proofErr w:type="spellStart"/>
      <w:r>
        <w:rPr>
          <w:rFonts w:ascii="Arial" w:hAnsi="Arial"/>
          <w:sz w:val="20"/>
        </w:rPr>
        <w:t>Tessky</w:t>
      </w:r>
      <w:proofErr w:type="spellEnd"/>
    </w:p>
    <w:p w:rsidR="00F32C8A" w:rsidRPr="003D1DC1"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rsidR="00F32C8A" w:rsidRPr="003D1DC1"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rsidR="00F32C8A" w:rsidRPr="00BE78C6" w:rsidRDefault="00F32C8A" w:rsidP="00F32C8A">
      <w:pPr>
        <w:suppressLineNumbers/>
        <w:spacing w:line="336" w:lineRule="auto"/>
        <w:ind w:left="709" w:right="1843" w:firstLine="709"/>
        <w:rPr>
          <w:rFonts w:ascii="Arial" w:hAnsi="Arial" w:cs="Arial"/>
          <w:sz w:val="20"/>
          <w:szCs w:val="20"/>
        </w:rPr>
      </w:pPr>
      <w:r w:rsidRPr="00BE78C6">
        <w:rPr>
          <w:rFonts w:ascii="Arial" w:hAnsi="Arial"/>
          <w:sz w:val="20"/>
        </w:rPr>
        <w:t>Phone: +49 (711) 3191-1286</w:t>
      </w:r>
    </w:p>
    <w:p w:rsidR="00F32C8A" w:rsidRPr="00BE78C6" w:rsidRDefault="00615FA8" w:rsidP="00F32C8A">
      <w:pPr>
        <w:suppressLineNumbers/>
        <w:spacing w:line="336" w:lineRule="auto"/>
        <w:ind w:left="709" w:right="1843" w:firstLine="709"/>
        <w:rPr>
          <w:rFonts w:ascii="Arial" w:hAnsi="Arial" w:cs="Arial"/>
          <w:sz w:val="20"/>
          <w:szCs w:val="20"/>
          <w:lang w:val="pt-BR"/>
        </w:rPr>
      </w:pPr>
      <w:hyperlink r:id="rId8" w:history="1">
        <w:r w:rsidR="00EF4662" w:rsidRPr="00BE78C6">
          <w:rPr>
            <w:rStyle w:val="Hyperlink"/>
            <w:rFonts w:ascii="Arial" w:hAnsi="Arial"/>
            <w:sz w:val="20"/>
            <w:lang w:val="pt-BR"/>
          </w:rPr>
          <w:t>rainer.gondek@index-werke.de</w:t>
        </w:r>
      </w:hyperlink>
      <w:r w:rsidR="00EF4662" w:rsidRPr="00BE78C6">
        <w:rPr>
          <w:rFonts w:ascii="Arial" w:hAnsi="Arial"/>
          <w:sz w:val="20"/>
          <w:lang w:val="pt-BR"/>
        </w:rPr>
        <w:t xml:space="preserve"> </w:t>
      </w:r>
    </w:p>
    <w:p w:rsidR="005F3E24" w:rsidRPr="00BE78C6" w:rsidRDefault="005F3E24" w:rsidP="003C2277">
      <w:pPr>
        <w:spacing w:after="200" w:line="360" w:lineRule="auto"/>
        <w:ind w:left="142"/>
        <w:jc w:val="both"/>
        <w:rPr>
          <w:rFonts w:ascii="Arial" w:eastAsiaTheme="minorHAnsi" w:hAnsi="Arial" w:cs="Arial"/>
          <w:sz w:val="20"/>
          <w:szCs w:val="20"/>
          <w:lang w:val="pt-BR" w:eastAsia="en-US"/>
        </w:rPr>
      </w:pPr>
    </w:p>
    <w:p w:rsidR="00C726C6" w:rsidRPr="00BE78C6" w:rsidRDefault="00C726C6">
      <w:pPr>
        <w:rPr>
          <w:rFonts w:ascii="Arial" w:eastAsiaTheme="minorHAnsi" w:hAnsi="Arial" w:cs="Arial"/>
          <w:b/>
          <w:sz w:val="20"/>
          <w:szCs w:val="20"/>
          <w:lang w:val="pt-BR"/>
        </w:rPr>
      </w:pPr>
      <w:r w:rsidRPr="00BE78C6">
        <w:rPr>
          <w:lang w:val="pt-BR"/>
        </w:rPr>
        <w:br w:type="page"/>
      </w:r>
    </w:p>
    <w:p w:rsidR="00BE78C6" w:rsidRDefault="00F32C8A" w:rsidP="00BE78C6">
      <w:pPr>
        <w:spacing w:after="200" w:line="360" w:lineRule="auto"/>
        <w:ind w:left="142"/>
        <w:jc w:val="both"/>
        <w:rPr>
          <w:rFonts w:ascii="Arial" w:hAnsi="Arial"/>
          <w:b/>
          <w:sz w:val="20"/>
          <w:lang w:val="pt-BR"/>
        </w:rPr>
      </w:pPr>
      <w:proofErr w:type="spellStart"/>
      <w:r w:rsidRPr="00BE78C6">
        <w:rPr>
          <w:rFonts w:ascii="Arial" w:hAnsi="Arial"/>
          <w:b/>
          <w:sz w:val="20"/>
          <w:lang w:val="pt-BR"/>
        </w:rPr>
        <w:lastRenderedPageBreak/>
        <w:t>Photos</w:t>
      </w:r>
      <w:proofErr w:type="spellEnd"/>
      <w:r w:rsidRPr="00BE78C6">
        <w:rPr>
          <w:rFonts w:ascii="Arial" w:hAnsi="Arial"/>
          <w:b/>
          <w:sz w:val="20"/>
          <w:lang w:val="pt-BR"/>
        </w:rPr>
        <w:t>:</w:t>
      </w:r>
    </w:p>
    <w:p w:rsidR="00BE78C6" w:rsidRPr="00BE78C6" w:rsidRDefault="00BE78C6" w:rsidP="00BE78C6">
      <w:pPr>
        <w:spacing w:after="200" w:line="360" w:lineRule="auto"/>
        <w:jc w:val="both"/>
        <w:rPr>
          <w:rFonts w:ascii="Arial" w:eastAsiaTheme="minorHAnsi" w:hAnsi="Arial" w:cs="Arial"/>
          <w:b/>
          <w:sz w:val="20"/>
          <w:szCs w:val="20"/>
          <w:lang w:val="pt-BR"/>
        </w:rPr>
      </w:pPr>
      <w:r>
        <w:rPr>
          <w:rFonts w:ascii="Arial" w:eastAsiaTheme="minorHAnsi" w:hAnsi="Arial" w:cs="Arial"/>
          <w:noProof/>
          <w:sz w:val="20"/>
          <w:szCs w:val="20"/>
          <w:lang w:val="de-DE" w:eastAsia="zh-CN"/>
        </w:rPr>
        <w:drawing>
          <wp:inline distT="0" distB="0" distL="0" distR="0" wp14:anchorId="7D3F5EA6" wp14:editId="031F02C4">
            <wp:extent cx="3019425" cy="246027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220_101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21046" cy="2461593"/>
                    </a:xfrm>
                    <a:prstGeom prst="rect">
                      <a:avLst/>
                    </a:prstGeom>
                  </pic:spPr>
                </pic:pic>
              </a:graphicData>
            </a:graphic>
          </wp:inline>
        </w:drawing>
      </w:r>
    </w:p>
    <w:p w:rsidR="00793E08" w:rsidRPr="00BE78C6" w:rsidRDefault="00D14773" w:rsidP="00D14773">
      <w:pPr>
        <w:spacing w:after="200" w:line="360" w:lineRule="auto"/>
        <w:ind w:left="142"/>
        <w:jc w:val="both"/>
        <w:rPr>
          <w:rFonts w:ascii="Arial" w:eastAsiaTheme="minorHAnsi" w:hAnsi="Arial" w:cs="Arial"/>
          <w:sz w:val="20"/>
          <w:szCs w:val="20"/>
        </w:rPr>
      </w:pPr>
      <w:r w:rsidRPr="00BE78C6">
        <w:rPr>
          <w:rFonts w:ascii="Arial" w:hAnsi="Arial"/>
          <w:sz w:val="20"/>
        </w:rPr>
        <w:t xml:space="preserve">Image 1: </w:t>
      </w:r>
    </w:p>
    <w:p w:rsidR="00D14773" w:rsidRDefault="00EA1B62" w:rsidP="00D14773">
      <w:pPr>
        <w:spacing w:after="200" w:line="360" w:lineRule="auto"/>
        <w:ind w:left="142"/>
        <w:jc w:val="both"/>
        <w:rPr>
          <w:rFonts w:ascii="Arial" w:hAnsi="Arial"/>
          <w:sz w:val="20"/>
        </w:rPr>
      </w:pPr>
      <w:r>
        <w:rPr>
          <w:rFonts w:ascii="Arial" w:hAnsi="Arial"/>
          <w:sz w:val="20"/>
        </w:rPr>
        <w:t xml:space="preserve">The new INDEX 220 turn-mill center boasts two tool turrets and a powerful motorized milling spindle. </w:t>
      </w:r>
      <w:proofErr w:type="gramStart"/>
      <w:r>
        <w:rPr>
          <w:rFonts w:ascii="Arial" w:hAnsi="Arial"/>
          <w:sz w:val="20"/>
        </w:rPr>
        <w:t xml:space="preserve">Handling of the </w:t>
      </w:r>
      <w:proofErr w:type="spellStart"/>
      <w:r>
        <w:rPr>
          <w:rFonts w:ascii="Arial" w:hAnsi="Arial"/>
          <w:sz w:val="20"/>
        </w:rPr>
        <w:t>workpieces</w:t>
      </w:r>
      <w:proofErr w:type="spellEnd"/>
      <w:r>
        <w:rPr>
          <w:rFonts w:ascii="Arial" w:hAnsi="Arial"/>
          <w:sz w:val="20"/>
        </w:rPr>
        <w:t xml:space="preserve"> can be carried out not only by a gantry-type loader</w:t>
      </w:r>
      <w:proofErr w:type="gramEnd"/>
      <w:r>
        <w:rPr>
          <w:rFonts w:ascii="Arial" w:hAnsi="Arial"/>
          <w:sz w:val="20"/>
        </w:rPr>
        <w:t xml:space="preserve"> with a double gripper (photo) but also by using the </w:t>
      </w:r>
      <w:proofErr w:type="spellStart"/>
      <w:r>
        <w:rPr>
          <w:rFonts w:ascii="Arial" w:hAnsi="Arial"/>
          <w:sz w:val="20"/>
        </w:rPr>
        <w:t>iXcenter</w:t>
      </w:r>
      <w:proofErr w:type="spellEnd"/>
      <w:r>
        <w:rPr>
          <w:rFonts w:ascii="Arial" w:hAnsi="Arial"/>
          <w:sz w:val="20"/>
        </w:rPr>
        <w:t xml:space="preserve"> robot cell.</w:t>
      </w:r>
    </w:p>
    <w:p w:rsidR="00BE78C6" w:rsidRDefault="00BE78C6" w:rsidP="00D14773">
      <w:pPr>
        <w:spacing w:after="200" w:line="360" w:lineRule="auto"/>
        <w:ind w:left="142"/>
        <w:jc w:val="both"/>
        <w:rPr>
          <w:rFonts w:ascii="Arial" w:hAnsi="Arial"/>
          <w:sz w:val="20"/>
        </w:rPr>
      </w:pPr>
    </w:p>
    <w:p w:rsidR="00BE78C6" w:rsidRPr="00D335FC" w:rsidRDefault="00BE78C6" w:rsidP="00D14773">
      <w:pPr>
        <w:spacing w:after="200" w:line="360" w:lineRule="auto"/>
        <w:ind w:left="142"/>
        <w:jc w:val="both"/>
        <w:rPr>
          <w:rFonts w:ascii="Arial" w:eastAsiaTheme="minorHAnsi" w:hAnsi="Arial" w:cs="Arial"/>
          <w:sz w:val="20"/>
          <w:szCs w:val="20"/>
        </w:rPr>
      </w:pPr>
      <w:r>
        <w:rPr>
          <w:rFonts w:ascii="Arial" w:eastAsiaTheme="minorHAnsi" w:hAnsi="Arial" w:cs="Arial"/>
          <w:noProof/>
          <w:sz w:val="20"/>
          <w:szCs w:val="20"/>
          <w:lang w:val="de-DE" w:eastAsia="zh-CN"/>
        </w:rPr>
        <w:drawing>
          <wp:inline distT="0" distB="0" distL="0" distR="0" wp14:anchorId="167D62BC" wp14:editId="63417A85">
            <wp:extent cx="1890158" cy="22955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200-Baukaste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678" cy="2314374"/>
                    </a:xfrm>
                    <a:prstGeom prst="rect">
                      <a:avLst/>
                    </a:prstGeom>
                  </pic:spPr>
                </pic:pic>
              </a:graphicData>
            </a:graphic>
          </wp:inline>
        </w:drawing>
      </w:r>
    </w:p>
    <w:p w:rsidR="005A353A" w:rsidRDefault="005A353A" w:rsidP="00D14773">
      <w:pPr>
        <w:spacing w:after="200" w:line="360" w:lineRule="auto"/>
        <w:ind w:left="142"/>
        <w:jc w:val="both"/>
        <w:rPr>
          <w:rFonts w:ascii="Arial" w:eastAsiaTheme="minorHAnsi" w:hAnsi="Arial" w:cs="Arial"/>
          <w:sz w:val="20"/>
          <w:szCs w:val="20"/>
          <w:lang w:eastAsia="en-US"/>
        </w:rPr>
      </w:pPr>
    </w:p>
    <w:p w:rsidR="00992A16" w:rsidRDefault="00992A16" w:rsidP="00992A16">
      <w:pPr>
        <w:spacing w:after="200" w:line="360" w:lineRule="auto"/>
        <w:ind w:left="142"/>
        <w:jc w:val="both"/>
        <w:rPr>
          <w:rFonts w:ascii="Arial" w:eastAsiaTheme="minorHAnsi" w:hAnsi="Arial" w:cs="Arial"/>
          <w:sz w:val="20"/>
          <w:szCs w:val="20"/>
        </w:rPr>
      </w:pPr>
      <w:r>
        <w:rPr>
          <w:rFonts w:ascii="Arial" w:hAnsi="Arial"/>
          <w:sz w:val="20"/>
        </w:rPr>
        <w:t>Image 2:</w:t>
      </w:r>
    </w:p>
    <w:p w:rsidR="00992A16" w:rsidRPr="00992A16" w:rsidRDefault="006612A8" w:rsidP="00992A16">
      <w:pPr>
        <w:spacing w:after="200" w:line="360" w:lineRule="auto"/>
        <w:ind w:left="142"/>
        <w:jc w:val="both"/>
        <w:rPr>
          <w:rFonts w:ascii="Arial" w:eastAsiaTheme="minorHAnsi" w:hAnsi="Arial" w:cs="Arial"/>
          <w:sz w:val="20"/>
          <w:szCs w:val="20"/>
        </w:rPr>
      </w:pPr>
      <w:r>
        <w:rPr>
          <w:rFonts w:ascii="Arial" w:hAnsi="Arial"/>
          <w:sz w:val="20"/>
        </w:rPr>
        <w:t xml:space="preserve">With a turning length of 900 mm, the INDEX G220 is ideal for high-performance turning and milling of components that are of small to medium size. </w:t>
      </w:r>
    </w:p>
    <w:p w:rsidR="00992A16" w:rsidRPr="00D335FC" w:rsidRDefault="00992A16" w:rsidP="00D14773">
      <w:pPr>
        <w:spacing w:after="200" w:line="360" w:lineRule="auto"/>
        <w:ind w:left="142"/>
        <w:jc w:val="both"/>
        <w:rPr>
          <w:rFonts w:ascii="Arial" w:eastAsiaTheme="minorHAnsi" w:hAnsi="Arial" w:cs="Arial"/>
          <w:sz w:val="20"/>
          <w:szCs w:val="20"/>
          <w:lang w:eastAsia="en-US"/>
        </w:rPr>
      </w:pPr>
    </w:p>
    <w:sectPr w:rsidR="00992A16"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A1B" w:rsidRDefault="006E4A1B">
      <w:r>
        <w:separator/>
      </w:r>
    </w:p>
  </w:endnote>
  <w:endnote w:type="continuationSeparator" w:id="0">
    <w:p w:rsidR="006E4A1B" w:rsidRDefault="006E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615FA8">
      <w:rPr>
        <w:rStyle w:val="Seitenzahl"/>
        <w:rFonts w:ascii="Arial" w:hAnsi="Arial" w:cs="Arial"/>
        <w:noProof/>
        <w:sz w:val="18"/>
      </w:rPr>
      <w:t>4</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615FA8">
      <w:rPr>
        <w:rStyle w:val="Seitenzahl"/>
        <w:rFonts w:ascii="Arial" w:hAnsi="Arial" w:cs="Arial"/>
        <w:noProof/>
        <w:sz w:val="18"/>
      </w:rPr>
      <w:t>4</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A1B" w:rsidRDefault="006E4A1B">
      <w:r>
        <w:separator/>
      </w:r>
    </w:p>
  </w:footnote>
  <w:footnote w:type="continuationSeparator" w:id="0">
    <w:p w:rsidR="006E4A1B" w:rsidRDefault="006E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3D200C" w:rsidRDefault="00F76584" w:rsidP="00694284">
    <w:pPr>
      <w:pStyle w:val="Kopfzeile"/>
      <w:tabs>
        <w:tab w:val="clear" w:pos="9072"/>
        <w:tab w:val="right" w:pos="9360"/>
      </w:tabs>
      <w:ind w:left="2544" w:right="-1418" w:firstLine="4296"/>
    </w:pPr>
    <w:r>
      <w:tab/>
    </w:r>
    <w:r>
      <w:rPr>
        <w:noProof/>
        <w:lang w:val="de-DE" w:eastAsia="zh-CN"/>
      </w:rPr>
      <w:drawing>
        <wp:inline distT="0" distB="0" distL="0" distR="0" wp14:anchorId="1D0BE61A" wp14:editId="6C87469D">
          <wp:extent cx="904875" cy="200025"/>
          <wp:effectExtent l="0" t="0" r="9525" b="9525"/>
          <wp:docPr id="30"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8C66BE" w:rsidRDefault="008C66BE" w:rsidP="008C66BE">
    <w:pPr>
      <w:pStyle w:val="Kopfzeile"/>
      <w:tabs>
        <w:tab w:val="clear" w:pos="4536"/>
        <w:tab w:val="clear" w:pos="9072"/>
      </w:tabs>
      <w:ind w:left="6840"/>
      <w:jc w:val="right"/>
      <w:rPr>
        <w:rFonts w:ascii="Arial" w:hAnsi="Arial" w:cs="Arial"/>
        <w:sz w:val="16"/>
      </w:rPr>
    </w:pPr>
  </w:p>
  <w:p w:rsidR="008C66BE" w:rsidRPr="008178F5" w:rsidRDefault="000D22C6" w:rsidP="00CE23B2">
    <w:pPr>
      <w:pStyle w:val="Kopfzeile"/>
      <w:tabs>
        <w:tab w:val="clear" w:pos="4536"/>
        <w:tab w:val="clear" w:pos="9072"/>
      </w:tabs>
      <w:ind w:left="7655" w:right="-1560"/>
      <w:jc w:val="center"/>
      <w:rPr>
        <w:rFonts w:ascii="Arial" w:hAnsi="Arial" w:cs="Arial"/>
        <w:sz w:val="16"/>
      </w:rPr>
    </w:pPr>
    <w:r>
      <w:rPr>
        <w:rFonts w:ascii="Arial" w:hAnsi="Arial"/>
        <w:sz w:val="16"/>
      </w:rPr>
      <w:t xml:space="preserve">            INDEX G220</w:t>
    </w:r>
  </w:p>
  <w:p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F76584" w:rsidRPr="003D200C" w:rsidRDefault="00F76584" w:rsidP="00AE64C2">
    <w:pPr>
      <w:pStyle w:val="Kopfzeile"/>
      <w:tabs>
        <w:tab w:val="clear" w:pos="4536"/>
        <w:tab w:val="clear" w:pos="9072"/>
      </w:tabs>
      <w:ind w:left="6840"/>
      <w:jc w:val="right"/>
      <w:rPr>
        <w:rFonts w:ascii="Arial" w:hAnsi="Arial" w:cs="Arial"/>
        <w:sz w:val="16"/>
      </w:rPr>
    </w:pPr>
  </w:p>
  <w:p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0980"/>
    <w:rsid w:val="000417E2"/>
    <w:rsid w:val="00042AE0"/>
    <w:rsid w:val="00042DA3"/>
    <w:rsid w:val="000444A6"/>
    <w:rsid w:val="00046FB5"/>
    <w:rsid w:val="00047E88"/>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425B"/>
    <w:rsid w:val="000E7045"/>
    <w:rsid w:val="000E7E0D"/>
    <w:rsid w:val="00107B6B"/>
    <w:rsid w:val="00107F92"/>
    <w:rsid w:val="0011189B"/>
    <w:rsid w:val="00112619"/>
    <w:rsid w:val="00115027"/>
    <w:rsid w:val="00120659"/>
    <w:rsid w:val="00123D45"/>
    <w:rsid w:val="00130697"/>
    <w:rsid w:val="00131AC4"/>
    <w:rsid w:val="0013320E"/>
    <w:rsid w:val="001365DF"/>
    <w:rsid w:val="00143AF0"/>
    <w:rsid w:val="00144799"/>
    <w:rsid w:val="00144D74"/>
    <w:rsid w:val="00150D8B"/>
    <w:rsid w:val="0015427D"/>
    <w:rsid w:val="001605C0"/>
    <w:rsid w:val="0016091D"/>
    <w:rsid w:val="00161A98"/>
    <w:rsid w:val="001622BB"/>
    <w:rsid w:val="00181FF2"/>
    <w:rsid w:val="00184FBF"/>
    <w:rsid w:val="001867F8"/>
    <w:rsid w:val="00186F99"/>
    <w:rsid w:val="00191224"/>
    <w:rsid w:val="001913D5"/>
    <w:rsid w:val="0019247F"/>
    <w:rsid w:val="00192759"/>
    <w:rsid w:val="001960C7"/>
    <w:rsid w:val="001A1972"/>
    <w:rsid w:val="001B1E13"/>
    <w:rsid w:val="001B36CA"/>
    <w:rsid w:val="001B39F6"/>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D04"/>
    <w:rsid w:val="00250E0A"/>
    <w:rsid w:val="00252394"/>
    <w:rsid w:val="00256000"/>
    <w:rsid w:val="00256E06"/>
    <w:rsid w:val="00261CB4"/>
    <w:rsid w:val="00262014"/>
    <w:rsid w:val="00262D8D"/>
    <w:rsid w:val="0026448E"/>
    <w:rsid w:val="00267FDD"/>
    <w:rsid w:val="0027071B"/>
    <w:rsid w:val="00270ADC"/>
    <w:rsid w:val="00270B93"/>
    <w:rsid w:val="00284137"/>
    <w:rsid w:val="00284D73"/>
    <w:rsid w:val="00285D73"/>
    <w:rsid w:val="0028670F"/>
    <w:rsid w:val="00294D30"/>
    <w:rsid w:val="002956E0"/>
    <w:rsid w:val="00295D86"/>
    <w:rsid w:val="002A0A1F"/>
    <w:rsid w:val="002C2782"/>
    <w:rsid w:val="002C52CB"/>
    <w:rsid w:val="002D038B"/>
    <w:rsid w:val="002D0FF4"/>
    <w:rsid w:val="002D2928"/>
    <w:rsid w:val="002D37B1"/>
    <w:rsid w:val="002E23FD"/>
    <w:rsid w:val="002E4C83"/>
    <w:rsid w:val="002E4CBA"/>
    <w:rsid w:val="002E52C6"/>
    <w:rsid w:val="002E572F"/>
    <w:rsid w:val="002E74F7"/>
    <w:rsid w:val="002F1927"/>
    <w:rsid w:val="002F40C9"/>
    <w:rsid w:val="002F51C3"/>
    <w:rsid w:val="002F7069"/>
    <w:rsid w:val="0030559E"/>
    <w:rsid w:val="0030733E"/>
    <w:rsid w:val="003240E3"/>
    <w:rsid w:val="00334401"/>
    <w:rsid w:val="003421B1"/>
    <w:rsid w:val="00350072"/>
    <w:rsid w:val="00353117"/>
    <w:rsid w:val="00356BD8"/>
    <w:rsid w:val="00357C65"/>
    <w:rsid w:val="00360228"/>
    <w:rsid w:val="00360722"/>
    <w:rsid w:val="0036385F"/>
    <w:rsid w:val="003666C5"/>
    <w:rsid w:val="0036688A"/>
    <w:rsid w:val="0036726E"/>
    <w:rsid w:val="00367F5D"/>
    <w:rsid w:val="0037311D"/>
    <w:rsid w:val="00375C67"/>
    <w:rsid w:val="0037625A"/>
    <w:rsid w:val="00377560"/>
    <w:rsid w:val="0037788C"/>
    <w:rsid w:val="00377F47"/>
    <w:rsid w:val="00381EF9"/>
    <w:rsid w:val="003860F4"/>
    <w:rsid w:val="003924B0"/>
    <w:rsid w:val="003925A8"/>
    <w:rsid w:val="00393025"/>
    <w:rsid w:val="00394986"/>
    <w:rsid w:val="003957DE"/>
    <w:rsid w:val="00395A28"/>
    <w:rsid w:val="00397A76"/>
    <w:rsid w:val="003A7C1B"/>
    <w:rsid w:val="003B0528"/>
    <w:rsid w:val="003B0F98"/>
    <w:rsid w:val="003B5BA9"/>
    <w:rsid w:val="003C0AF9"/>
    <w:rsid w:val="003C2277"/>
    <w:rsid w:val="003C6139"/>
    <w:rsid w:val="003D1DC1"/>
    <w:rsid w:val="003D443B"/>
    <w:rsid w:val="003E2890"/>
    <w:rsid w:val="003E4D2B"/>
    <w:rsid w:val="003E5584"/>
    <w:rsid w:val="003E6564"/>
    <w:rsid w:val="003F60D2"/>
    <w:rsid w:val="00406AB0"/>
    <w:rsid w:val="0041150F"/>
    <w:rsid w:val="00412A12"/>
    <w:rsid w:val="00414CF2"/>
    <w:rsid w:val="00415A87"/>
    <w:rsid w:val="00415D03"/>
    <w:rsid w:val="004203A9"/>
    <w:rsid w:val="004204C8"/>
    <w:rsid w:val="00422AE3"/>
    <w:rsid w:val="00424E75"/>
    <w:rsid w:val="00426195"/>
    <w:rsid w:val="00432DD2"/>
    <w:rsid w:val="00433009"/>
    <w:rsid w:val="00435AF4"/>
    <w:rsid w:val="00443DDF"/>
    <w:rsid w:val="00446750"/>
    <w:rsid w:val="00447215"/>
    <w:rsid w:val="0046004B"/>
    <w:rsid w:val="00460631"/>
    <w:rsid w:val="00463188"/>
    <w:rsid w:val="00463DF5"/>
    <w:rsid w:val="00464E34"/>
    <w:rsid w:val="00467F33"/>
    <w:rsid w:val="004720E4"/>
    <w:rsid w:val="0047346F"/>
    <w:rsid w:val="00476642"/>
    <w:rsid w:val="004804E4"/>
    <w:rsid w:val="00480651"/>
    <w:rsid w:val="0048614F"/>
    <w:rsid w:val="00495221"/>
    <w:rsid w:val="00496717"/>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271C"/>
    <w:rsid w:val="00543713"/>
    <w:rsid w:val="00543C7E"/>
    <w:rsid w:val="00544BB2"/>
    <w:rsid w:val="0055166D"/>
    <w:rsid w:val="005609F5"/>
    <w:rsid w:val="0056193E"/>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55FF"/>
    <w:rsid w:val="005F5611"/>
    <w:rsid w:val="005F7A16"/>
    <w:rsid w:val="006027CB"/>
    <w:rsid w:val="00615FA8"/>
    <w:rsid w:val="006160DC"/>
    <w:rsid w:val="006177B8"/>
    <w:rsid w:val="0061792A"/>
    <w:rsid w:val="0062379F"/>
    <w:rsid w:val="00627581"/>
    <w:rsid w:val="00630673"/>
    <w:rsid w:val="00637120"/>
    <w:rsid w:val="0065153A"/>
    <w:rsid w:val="00656679"/>
    <w:rsid w:val="006612A8"/>
    <w:rsid w:val="00672561"/>
    <w:rsid w:val="006727C1"/>
    <w:rsid w:val="00675059"/>
    <w:rsid w:val="00677566"/>
    <w:rsid w:val="006803F7"/>
    <w:rsid w:val="00680B31"/>
    <w:rsid w:val="0068145C"/>
    <w:rsid w:val="00683EF2"/>
    <w:rsid w:val="00684280"/>
    <w:rsid w:val="00690770"/>
    <w:rsid w:val="00694284"/>
    <w:rsid w:val="00695EC9"/>
    <w:rsid w:val="00697B66"/>
    <w:rsid w:val="006A5028"/>
    <w:rsid w:val="006A588B"/>
    <w:rsid w:val="006A5905"/>
    <w:rsid w:val="006A673A"/>
    <w:rsid w:val="006A6F2B"/>
    <w:rsid w:val="006B4984"/>
    <w:rsid w:val="006C0FD9"/>
    <w:rsid w:val="006C2E51"/>
    <w:rsid w:val="006C3E18"/>
    <w:rsid w:val="006C44E2"/>
    <w:rsid w:val="006D1B3E"/>
    <w:rsid w:val="006D7BB9"/>
    <w:rsid w:val="006E0AE1"/>
    <w:rsid w:val="006E1B3D"/>
    <w:rsid w:val="006E4A1B"/>
    <w:rsid w:val="006E6820"/>
    <w:rsid w:val="006F189B"/>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5520A"/>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CE8"/>
    <w:rsid w:val="00813110"/>
    <w:rsid w:val="008133B0"/>
    <w:rsid w:val="00815941"/>
    <w:rsid w:val="008177F0"/>
    <w:rsid w:val="008178F5"/>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4120E"/>
    <w:rsid w:val="00946D88"/>
    <w:rsid w:val="00952ACE"/>
    <w:rsid w:val="00955761"/>
    <w:rsid w:val="009661B7"/>
    <w:rsid w:val="00971814"/>
    <w:rsid w:val="00971F9F"/>
    <w:rsid w:val="00976D01"/>
    <w:rsid w:val="00980C02"/>
    <w:rsid w:val="00985312"/>
    <w:rsid w:val="00992A16"/>
    <w:rsid w:val="00993817"/>
    <w:rsid w:val="00994501"/>
    <w:rsid w:val="009951D4"/>
    <w:rsid w:val="009A0DFB"/>
    <w:rsid w:val="009A2376"/>
    <w:rsid w:val="009B3B4B"/>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69CE"/>
    <w:rsid w:val="00A27C03"/>
    <w:rsid w:val="00A32630"/>
    <w:rsid w:val="00A37BBA"/>
    <w:rsid w:val="00A43BA8"/>
    <w:rsid w:val="00A50F9C"/>
    <w:rsid w:val="00A53DF8"/>
    <w:rsid w:val="00A571E4"/>
    <w:rsid w:val="00A662A5"/>
    <w:rsid w:val="00A70851"/>
    <w:rsid w:val="00A711DA"/>
    <w:rsid w:val="00A716C4"/>
    <w:rsid w:val="00A72BAE"/>
    <w:rsid w:val="00A73611"/>
    <w:rsid w:val="00A73987"/>
    <w:rsid w:val="00A769FD"/>
    <w:rsid w:val="00A7749A"/>
    <w:rsid w:val="00A81CD2"/>
    <w:rsid w:val="00A833A4"/>
    <w:rsid w:val="00A83A93"/>
    <w:rsid w:val="00A83F0A"/>
    <w:rsid w:val="00A84A49"/>
    <w:rsid w:val="00A94162"/>
    <w:rsid w:val="00A95DB7"/>
    <w:rsid w:val="00A96370"/>
    <w:rsid w:val="00AA49F6"/>
    <w:rsid w:val="00AA4DE4"/>
    <w:rsid w:val="00AB253A"/>
    <w:rsid w:val="00AB5101"/>
    <w:rsid w:val="00AC37E7"/>
    <w:rsid w:val="00AD1B3A"/>
    <w:rsid w:val="00AD5157"/>
    <w:rsid w:val="00AE10B3"/>
    <w:rsid w:val="00AE1178"/>
    <w:rsid w:val="00AE220D"/>
    <w:rsid w:val="00AE64C2"/>
    <w:rsid w:val="00AF04B8"/>
    <w:rsid w:val="00AF7EC9"/>
    <w:rsid w:val="00B05448"/>
    <w:rsid w:val="00B062A9"/>
    <w:rsid w:val="00B0695E"/>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2CF4"/>
    <w:rsid w:val="00B95316"/>
    <w:rsid w:val="00B96674"/>
    <w:rsid w:val="00BA4288"/>
    <w:rsid w:val="00BA57CA"/>
    <w:rsid w:val="00BA5C61"/>
    <w:rsid w:val="00BB3AEB"/>
    <w:rsid w:val="00BB6076"/>
    <w:rsid w:val="00BD07C8"/>
    <w:rsid w:val="00BD264F"/>
    <w:rsid w:val="00BD28CD"/>
    <w:rsid w:val="00BD512C"/>
    <w:rsid w:val="00BE22C4"/>
    <w:rsid w:val="00BE68C8"/>
    <w:rsid w:val="00BE7797"/>
    <w:rsid w:val="00BE78C6"/>
    <w:rsid w:val="00BE79B9"/>
    <w:rsid w:val="00BF127F"/>
    <w:rsid w:val="00BF2887"/>
    <w:rsid w:val="00BF5362"/>
    <w:rsid w:val="00BF7959"/>
    <w:rsid w:val="00C01F56"/>
    <w:rsid w:val="00C0374E"/>
    <w:rsid w:val="00C06334"/>
    <w:rsid w:val="00C15103"/>
    <w:rsid w:val="00C154E1"/>
    <w:rsid w:val="00C205C7"/>
    <w:rsid w:val="00C35B6D"/>
    <w:rsid w:val="00C460E5"/>
    <w:rsid w:val="00C52C2E"/>
    <w:rsid w:val="00C53420"/>
    <w:rsid w:val="00C5688F"/>
    <w:rsid w:val="00C571F6"/>
    <w:rsid w:val="00C63FCB"/>
    <w:rsid w:val="00C71D48"/>
    <w:rsid w:val="00C726C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23B2"/>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B6E1D"/>
    <w:rsid w:val="00DC4475"/>
    <w:rsid w:val="00DC6E3B"/>
    <w:rsid w:val="00DD273B"/>
    <w:rsid w:val="00DE023C"/>
    <w:rsid w:val="00DE2001"/>
    <w:rsid w:val="00DE3C34"/>
    <w:rsid w:val="00DE40C9"/>
    <w:rsid w:val="00DF72D5"/>
    <w:rsid w:val="00E012F8"/>
    <w:rsid w:val="00E07D31"/>
    <w:rsid w:val="00E07DAF"/>
    <w:rsid w:val="00E115FC"/>
    <w:rsid w:val="00E1488A"/>
    <w:rsid w:val="00E148DF"/>
    <w:rsid w:val="00E17752"/>
    <w:rsid w:val="00E217FF"/>
    <w:rsid w:val="00E24288"/>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1B62"/>
    <w:rsid w:val="00EA402B"/>
    <w:rsid w:val="00EA613C"/>
    <w:rsid w:val="00EA7A1A"/>
    <w:rsid w:val="00EB31E0"/>
    <w:rsid w:val="00EB7121"/>
    <w:rsid w:val="00EC0EE6"/>
    <w:rsid w:val="00EC3D9F"/>
    <w:rsid w:val="00EC4279"/>
    <w:rsid w:val="00EC58B3"/>
    <w:rsid w:val="00EC72BC"/>
    <w:rsid w:val="00EE2363"/>
    <w:rsid w:val="00EE2A82"/>
    <w:rsid w:val="00EE3C54"/>
    <w:rsid w:val="00EE5A18"/>
    <w:rsid w:val="00EE6A90"/>
    <w:rsid w:val="00EF1934"/>
    <w:rsid w:val="00EF4662"/>
    <w:rsid w:val="00EF7037"/>
    <w:rsid w:val="00F01B90"/>
    <w:rsid w:val="00F01E4A"/>
    <w:rsid w:val="00F042F3"/>
    <w:rsid w:val="00F0517F"/>
    <w:rsid w:val="00F10062"/>
    <w:rsid w:val="00F10547"/>
    <w:rsid w:val="00F26A5A"/>
    <w:rsid w:val="00F2707A"/>
    <w:rsid w:val="00F27A5E"/>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2D50"/>
    <w:rsid w:val="00FB5DE6"/>
    <w:rsid w:val="00FB5E28"/>
    <w:rsid w:val="00FB62A0"/>
    <w:rsid w:val="00FB740A"/>
    <w:rsid w:val="00FC429B"/>
    <w:rsid w:val="00FC78CF"/>
    <w:rsid w:val="00FD6BE2"/>
    <w:rsid w:val="00FE24D6"/>
    <w:rsid w:val="00FE2B5E"/>
    <w:rsid w:val="00FE395A"/>
    <w:rsid w:val="00FE44E3"/>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83354E7"/>
  <w15:docId w15:val="{CBF198F9-3539-4A4F-9D44-71E625EC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F27A5E"/>
    <w:pPr>
      <w:ind w:left="720"/>
      <w:contextualSpacing/>
    </w:pPr>
  </w:style>
  <w:style w:type="character" w:styleId="Kommentarzeichen">
    <w:name w:val="annotation reference"/>
    <w:basedOn w:val="Absatz-Standardschriftart"/>
    <w:semiHidden/>
    <w:unhideWhenUsed/>
    <w:rsid w:val="00C726C6"/>
    <w:rPr>
      <w:sz w:val="16"/>
      <w:szCs w:val="16"/>
    </w:rPr>
  </w:style>
  <w:style w:type="paragraph" w:styleId="Kommentartext">
    <w:name w:val="annotation text"/>
    <w:basedOn w:val="Standard"/>
    <w:link w:val="KommentartextZchn"/>
    <w:semiHidden/>
    <w:unhideWhenUsed/>
    <w:rsid w:val="00C726C6"/>
    <w:rPr>
      <w:sz w:val="20"/>
      <w:szCs w:val="20"/>
    </w:rPr>
  </w:style>
  <w:style w:type="character" w:customStyle="1" w:styleId="KommentartextZchn">
    <w:name w:val="Kommentartext Zchn"/>
    <w:basedOn w:val="Absatz-Standardschriftart"/>
    <w:link w:val="Kommentartext"/>
    <w:semiHidden/>
    <w:rsid w:val="00C726C6"/>
  </w:style>
  <w:style w:type="paragraph" w:styleId="Kommentarthema">
    <w:name w:val="annotation subject"/>
    <w:basedOn w:val="Kommentartext"/>
    <w:next w:val="Kommentartext"/>
    <w:link w:val="KommentarthemaZchn"/>
    <w:semiHidden/>
    <w:unhideWhenUsed/>
    <w:rsid w:val="00C726C6"/>
    <w:rPr>
      <w:b/>
      <w:bCs/>
    </w:rPr>
  </w:style>
  <w:style w:type="character" w:customStyle="1" w:styleId="KommentarthemaZchn">
    <w:name w:val="Kommentarthema Zchn"/>
    <w:basedOn w:val="KommentartextZchn"/>
    <w:link w:val="Kommentarthema"/>
    <w:semiHidden/>
    <w:rsid w:val="00C72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E724C-7E50-446B-A4B8-FE1DBC60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4479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PI INDEX G220</vt:lpstr>
    </vt:vector>
  </TitlesOfParts>
  <Company>INDEX-Werke GmbH &amp; Co. KG</Company>
  <LinksUpToDate>false</LinksUpToDate>
  <CharactersWithSpaces>5353</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G220</dc:title>
  <dc:creator>INDEX-Werke GmbH &amp; Co. KG</dc:creator>
  <cp:lastModifiedBy>Janke, Nicole</cp:lastModifiedBy>
  <cp:revision>5</cp:revision>
  <cp:lastPrinted>2022-02-02T14:46:00Z</cp:lastPrinted>
  <dcterms:created xsi:type="dcterms:W3CDTF">2022-02-23T14:59:00Z</dcterms:created>
  <dcterms:modified xsi:type="dcterms:W3CDTF">2022-08-17T13:43:00Z</dcterms:modified>
</cp:coreProperties>
</file>