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CC6DB" w14:textId="7E0D3478" w:rsidR="006E6820"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 xml:space="preserve">Communiqué de presse du </w:t>
      </w:r>
      <w:r w:rsidR="0030636F">
        <w:rPr>
          <w:rFonts w:ascii="Arial" w:hAnsi="Arial"/>
          <w:sz w:val="20"/>
          <w:szCs w:val="20"/>
        </w:rPr>
        <w:t>12/10</w:t>
      </w:r>
      <w:r>
        <w:rPr>
          <w:rFonts w:ascii="Arial" w:hAnsi="Arial"/>
          <w:sz w:val="20"/>
          <w:szCs w:val="20"/>
        </w:rPr>
        <w:t>/2020</w:t>
      </w:r>
    </w:p>
    <w:p w14:paraId="71A5AA07"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7B78D316" w14:textId="77777777" w:rsidR="00A50FCC" w:rsidRPr="00D335FC" w:rsidRDefault="00A50FCC" w:rsidP="00A50FCC">
      <w:pPr>
        <w:suppressLineNumbers/>
        <w:spacing w:after="240" w:line="264" w:lineRule="auto"/>
        <w:ind w:left="142" w:right="-284"/>
        <w:rPr>
          <w:rFonts w:ascii="Arial" w:hAnsi="Arial" w:cs="Arial"/>
          <w:b/>
          <w:spacing w:val="-2"/>
          <w:sz w:val="36"/>
          <w:szCs w:val="36"/>
        </w:rPr>
      </w:pPr>
      <w:r>
        <w:rPr>
          <w:rFonts w:ascii="Arial" w:hAnsi="Arial"/>
          <w:b/>
          <w:sz w:val="36"/>
          <w:szCs w:val="36"/>
        </w:rPr>
        <w:t>Automatisation de S à XL</w:t>
      </w:r>
    </w:p>
    <w:p w14:paraId="6546FFA1" w14:textId="77777777" w:rsidR="00415D03" w:rsidRPr="005C3AC3" w:rsidRDefault="005C3AC3" w:rsidP="00A45B44">
      <w:pPr>
        <w:pStyle w:val="berschrift32"/>
        <w:suppressLineNumbers/>
        <w:shd w:val="clear" w:color="auto" w:fill="FFFFFF"/>
        <w:tabs>
          <w:tab w:val="left" w:pos="7740"/>
        </w:tabs>
        <w:spacing w:after="240" w:line="264" w:lineRule="auto"/>
        <w:ind w:left="142" w:right="567"/>
        <w:rPr>
          <w:rFonts w:ascii="Arial" w:hAnsi="Arial" w:cs="Arial"/>
          <w:b w:val="0"/>
          <w:color w:val="auto"/>
          <w:sz w:val="28"/>
          <w:szCs w:val="28"/>
        </w:rPr>
      </w:pPr>
      <w:r>
        <w:rPr>
          <w:rFonts w:ascii="Arial" w:hAnsi="Arial"/>
          <w:b w:val="0"/>
          <w:sz w:val="28"/>
          <w:szCs w:val="28"/>
        </w:rPr>
        <w:t xml:space="preserve">Dès à présent, la cellule de robot INDEX </w:t>
      </w:r>
      <w:proofErr w:type="spellStart"/>
      <w:r>
        <w:rPr>
          <w:rFonts w:ascii="Arial" w:hAnsi="Arial"/>
          <w:b w:val="0"/>
          <w:sz w:val="28"/>
          <w:szCs w:val="28"/>
        </w:rPr>
        <w:t>iXcenter</w:t>
      </w:r>
      <w:proofErr w:type="spellEnd"/>
      <w:r>
        <w:rPr>
          <w:rFonts w:ascii="Arial" w:hAnsi="Arial"/>
          <w:b w:val="0"/>
          <w:sz w:val="28"/>
          <w:szCs w:val="28"/>
        </w:rPr>
        <w:t xml:space="preserve"> est disponible aussi pour les machines de grande taille.</w:t>
      </w:r>
    </w:p>
    <w:p w14:paraId="2A0EF2DB" w14:textId="6C3B16C2" w:rsidR="00995993" w:rsidRPr="00B273EC" w:rsidRDefault="00995993" w:rsidP="003D1F5A">
      <w:pPr>
        <w:spacing w:after="200" w:line="360" w:lineRule="auto"/>
        <w:ind w:left="142"/>
        <w:jc w:val="both"/>
        <w:rPr>
          <w:rFonts w:ascii="Arial" w:eastAsiaTheme="minorHAnsi" w:hAnsi="Arial" w:cs="Arial"/>
          <w:b/>
          <w:sz w:val="20"/>
          <w:szCs w:val="20"/>
        </w:rPr>
      </w:pPr>
      <w:r>
        <w:rPr>
          <w:rFonts w:ascii="Arial" w:hAnsi="Arial"/>
          <w:b/>
          <w:sz w:val="20"/>
          <w:szCs w:val="20"/>
        </w:rPr>
        <w:t>Depuis 3 ans, INDEX propose des solutions d’automatisation robotisées très productives pour les centres de tournage et de tournage/fraisage petits ou moyens. Dorénavant, les clients possédant des centres de tournage de grande taille pourront également bénéficier d’un système d’automatisation modulaire. Grâce à la structure modulaire, le robot peut servir non seulement à charger ou décharger les pièces à usiner grandes et lourdes, mais aussi à diverses autres tâches successives.</w:t>
      </w:r>
    </w:p>
    <w:p w14:paraId="1A877721" w14:textId="77777777" w:rsidR="003D1F5A" w:rsidRDefault="003D1F5A" w:rsidP="003D1F5A">
      <w:pPr>
        <w:spacing w:after="200" w:line="360" w:lineRule="auto"/>
        <w:ind w:left="142"/>
        <w:jc w:val="both"/>
        <w:rPr>
          <w:rFonts w:ascii="Arial" w:eastAsiaTheme="minorHAnsi" w:hAnsi="Arial" w:cs="Arial"/>
          <w:sz w:val="20"/>
          <w:szCs w:val="20"/>
        </w:rPr>
      </w:pPr>
      <w:r>
        <w:rPr>
          <w:rFonts w:ascii="Arial" w:hAnsi="Arial"/>
          <w:sz w:val="20"/>
          <w:szCs w:val="20"/>
        </w:rPr>
        <w:t xml:space="preserve">Que seraient les techniques mécaniques les plus modernes sans une automatisation adaptée ? La société INDEX, l’un des leaders mondiaux dans le domaine de la fabrication de tours CNC, tours automatiques, machines multibroches et centres de tournage/fraisage, est consciente de la demande croissante de solutions d’automatisation pour l’ensemble de sa gamme de machines. Cette demande, elle la satisfait par différentes offres adaptées. Elles s’étendent des modules d'évacuation des pièces simples intégrés à la machine à des solutions robotisées externes complexes, qui </w:t>
      </w:r>
      <w:proofErr w:type="gramStart"/>
      <w:r>
        <w:rPr>
          <w:rFonts w:ascii="Arial" w:hAnsi="Arial"/>
          <w:sz w:val="20"/>
          <w:szCs w:val="20"/>
        </w:rPr>
        <w:t>font</w:t>
      </w:r>
      <w:proofErr w:type="gramEnd"/>
      <w:r>
        <w:rPr>
          <w:rFonts w:ascii="Arial" w:hAnsi="Arial"/>
          <w:sz w:val="20"/>
          <w:szCs w:val="20"/>
        </w:rPr>
        <w:t xml:space="preserve"> l’objet d’un intérêt particulièrement prononcé.</w:t>
      </w:r>
    </w:p>
    <w:p w14:paraId="59F1EFF9" w14:textId="77777777" w:rsidR="00FB31EA" w:rsidRDefault="00FB31EA" w:rsidP="00FB31EA">
      <w:pPr>
        <w:spacing w:after="200" w:line="360" w:lineRule="auto"/>
        <w:ind w:left="142"/>
        <w:jc w:val="both"/>
        <w:rPr>
          <w:rFonts w:ascii="Arial" w:eastAsiaTheme="minorHAnsi" w:hAnsi="Arial" w:cs="Arial"/>
          <w:sz w:val="20"/>
          <w:szCs w:val="20"/>
        </w:rPr>
      </w:pPr>
      <w:r>
        <w:rPr>
          <w:rFonts w:ascii="Arial" w:hAnsi="Arial"/>
          <w:sz w:val="20"/>
          <w:szCs w:val="20"/>
        </w:rPr>
        <w:t xml:space="preserve">INDEX propose sa cellule robot </w:t>
      </w:r>
      <w:proofErr w:type="spellStart"/>
      <w:r>
        <w:rPr>
          <w:rFonts w:ascii="Arial" w:hAnsi="Arial"/>
          <w:sz w:val="20"/>
          <w:szCs w:val="20"/>
        </w:rPr>
        <w:t>iXcenter</w:t>
      </w:r>
      <w:proofErr w:type="spellEnd"/>
      <w:r>
        <w:rPr>
          <w:rFonts w:ascii="Arial" w:hAnsi="Arial"/>
          <w:sz w:val="20"/>
          <w:szCs w:val="20"/>
        </w:rPr>
        <w:t xml:space="preserve"> de plus de 3 ans. L’introduction sur le marché s’est effectuée avec une petite variante intégrée à la machine, qui est dorénavant disponible aussi en d’autres tailles et modèles.</w:t>
      </w:r>
    </w:p>
    <w:p w14:paraId="31900C22" w14:textId="77777777" w:rsidR="00FB31EA" w:rsidRPr="00381616" w:rsidRDefault="00FB31EA" w:rsidP="00FB31EA">
      <w:pPr>
        <w:spacing w:after="200" w:line="360" w:lineRule="auto"/>
        <w:ind w:left="142"/>
        <w:jc w:val="both"/>
        <w:rPr>
          <w:rFonts w:ascii="Arial" w:eastAsiaTheme="minorHAnsi" w:hAnsi="Arial" w:cs="Arial"/>
          <w:b/>
          <w:sz w:val="20"/>
          <w:szCs w:val="20"/>
        </w:rPr>
      </w:pPr>
      <w:r>
        <w:rPr>
          <w:rFonts w:ascii="Arial" w:hAnsi="Arial"/>
          <w:b/>
          <w:sz w:val="20"/>
          <w:szCs w:val="20"/>
        </w:rPr>
        <w:t>Une automatisation entièrement intégrée pour les machines compactes</w:t>
      </w:r>
    </w:p>
    <w:p w14:paraId="7E2E44AC" w14:textId="77777777" w:rsidR="006F1F9A" w:rsidRDefault="006F0499" w:rsidP="00933C0D">
      <w:pPr>
        <w:spacing w:after="200" w:line="360" w:lineRule="auto"/>
        <w:ind w:left="142"/>
        <w:jc w:val="both"/>
        <w:rPr>
          <w:rFonts w:ascii="Arial" w:eastAsiaTheme="minorHAnsi" w:hAnsi="Arial" w:cs="Arial"/>
          <w:sz w:val="20"/>
          <w:szCs w:val="20"/>
        </w:rPr>
      </w:pPr>
      <w:r>
        <w:rPr>
          <w:rFonts w:ascii="Arial" w:hAnsi="Arial"/>
          <w:sz w:val="20"/>
          <w:szCs w:val="20"/>
        </w:rPr>
        <w:t xml:space="preserve">Le tour automatique longitudinal/transversal TRAUB TNL20 peut être configuré avec un robot </w:t>
      </w:r>
      <w:proofErr w:type="spellStart"/>
      <w:r>
        <w:rPr>
          <w:rFonts w:ascii="Arial" w:hAnsi="Arial"/>
          <w:sz w:val="20"/>
          <w:szCs w:val="20"/>
        </w:rPr>
        <w:t>iXcenter</w:t>
      </w:r>
      <w:proofErr w:type="spellEnd"/>
      <w:r>
        <w:rPr>
          <w:rFonts w:ascii="Arial" w:hAnsi="Arial"/>
          <w:sz w:val="20"/>
          <w:szCs w:val="20"/>
        </w:rPr>
        <w:t xml:space="preserve"> entièrement intégré à la machine. Il se compose pour l’essentiel d’un robot à bras articulé et d’un magasin de palettes vertical comportant jusqu’à 14 palettes (30 x 400 mm). Cette solution d’automatisation frontale permet d’une part de charger et décharger les pièces de mandrin à l’aide du robot. D’autre part, elle est également en mesure d'effectuer uniquement le tri et l'évacuation des pièces après l’usinage de barres. De plus, l’</w:t>
      </w:r>
      <w:proofErr w:type="spellStart"/>
      <w:r>
        <w:rPr>
          <w:rFonts w:ascii="Arial" w:hAnsi="Arial"/>
          <w:sz w:val="20"/>
          <w:szCs w:val="20"/>
        </w:rPr>
        <w:t>iXcenter</w:t>
      </w:r>
      <w:proofErr w:type="spellEnd"/>
      <w:r>
        <w:rPr>
          <w:rFonts w:ascii="Arial" w:hAnsi="Arial"/>
          <w:sz w:val="20"/>
          <w:szCs w:val="20"/>
        </w:rPr>
        <w:t xml:space="preserve"> est préparé pour l’intégration d’étapes supplémentaires dans le processus, par ex. les mesures 3D, l’ébavurage, etc. Pour l’équipement simple et ergonomique de la machine, l’utilisateur peut décaler la petite cellule de robot entièrement sur le côté après l’avoir déverrouillée, afin d’obtenir un accès intégral à la machine.</w:t>
      </w:r>
    </w:p>
    <w:p w14:paraId="500D6FE5" w14:textId="77777777" w:rsidR="00381616" w:rsidRPr="00381616" w:rsidRDefault="00381616" w:rsidP="00933C0D">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Une cellule d’automatisation pour le segment des machines de taille moyenne</w:t>
      </w:r>
    </w:p>
    <w:p w14:paraId="2E8A964F" w14:textId="77777777" w:rsidR="00381616" w:rsidRDefault="00381616" w:rsidP="00381616">
      <w:pPr>
        <w:spacing w:after="200" w:line="360" w:lineRule="auto"/>
        <w:ind w:left="142"/>
        <w:jc w:val="both"/>
        <w:rPr>
          <w:rFonts w:ascii="Arial" w:eastAsiaTheme="minorHAnsi" w:hAnsi="Arial" w:cs="Arial"/>
          <w:sz w:val="20"/>
          <w:szCs w:val="20"/>
        </w:rPr>
      </w:pPr>
      <w:r>
        <w:rPr>
          <w:rFonts w:ascii="Arial" w:hAnsi="Arial"/>
          <w:sz w:val="20"/>
          <w:szCs w:val="20"/>
        </w:rPr>
        <w:t xml:space="preserve">Pour les machines de taille moyenne telles que par exemple </w:t>
      </w:r>
      <w:proofErr w:type="gramStart"/>
      <w:r>
        <w:rPr>
          <w:rFonts w:ascii="Arial" w:hAnsi="Arial"/>
          <w:sz w:val="20"/>
          <w:szCs w:val="20"/>
        </w:rPr>
        <w:t>les tours automatique</w:t>
      </w:r>
      <w:proofErr w:type="gramEnd"/>
      <w:r>
        <w:rPr>
          <w:rFonts w:ascii="Arial" w:hAnsi="Arial"/>
          <w:sz w:val="20"/>
          <w:szCs w:val="20"/>
        </w:rPr>
        <w:t xml:space="preserve"> de production C100/C200, le centre de fraisage INDEX G200, ainsi qu’à présent aussi les tours automatiques universels des séries TNA et B, INDEX propose sa cellule de robot </w:t>
      </w:r>
      <w:proofErr w:type="spellStart"/>
      <w:r>
        <w:rPr>
          <w:rFonts w:ascii="Arial" w:hAnsi="Arial"/>
          <w:sz w:val="20"/>
          <w:szCs w:val="20"/>
        </w:rPr>
        <w:t>iXcenter</w:t>
      </w:r>
      <w:proofErr w:type="spellEnd"/>
      <w:r>
        <w:rPr>
          <w:rFonts w:ascii="Arial" w:hAnsi="Arial"/>
          <w:sz w:val="20"/>
          <w:szCs w:val="20"/>
        </w:rPr>
        <w:t xml:space="preserve"> en une version légèrement modifiée. N’étant plus intégrée dans la machine, elle se trouve sur une plateforme équipée de guidages linéaires qui est verrouillée devant le compartiment d’usinage pendant la production. Le robot à 6 axes (capacité de charge jusqu’à 12 kg) accède au compartiment d'usinage de la machine par la porte de cette dernière, qui s’ouvre automatiquement derrière la cellule du robot. Cette cellule </w:t>
      </w:r>
      <w:proofErr w:type="spellStart"/>
      <w:r>
        <w:rPr>
          <w:rFonts w:ascii="Arial" w:hAnsi="Arial"/>
          <w:sz w:val="20"/>
          <w:szCs w:val="20"/>
        </w:rPr>
        <w:t>iXcenter</w:t>
      </w:r>
      <w:proofErr w:type="spellEnd"/>
      <w:r>
        <w:rPr>
          <w:rFonts w:ascii="Arial" w:hAnsi="Arial"/>
          <w:sz w:val="20"/>
          <w:szCs w:val="20"/>
        </w:rPr>
        <w:t xml:space="preserve"> dispose d’un magasin vertical peu encombrant avec une réserve d'usinage de jusqu'à 22 palettes (600 x 400 mm). Les palettes avec les pièces brutes sont chargées par l’opérateur dans la partie supérieure du magasin, tandis que les palettes avec les pièces usinées sont retirées du magasin de palettes par le bas. Cela peut être effectué à n’importe quel moment au choix sans interruption de la production. Même les processus en aval, tels que le nettoyage, la mesure, l’ébavurage, etc. peuvent être intégrés à la cellule de robot.</w:t>
      </w:r>
    </w:p>
    <w:p w14:paraId="15B520AE" w14:textId="77777777" w:rsidR="006F0499" w:rsidRPr="00D335FC" w:rsidRDefault="00AC2129" w:rsidP="006F0499">
      <w:pPr>
        <w:spacing w:after="200" w:line="360" w:lineRule="auto"/>
        <w:ind w:left="142"/>
        <w:jc w:val="both"/>
        <w:rPr>
          <w:rFonts w:ascii="Arial" w:eastAsiaTheme="minorHAnsi" w:hAnsi="Arial" w:cs="Arial"/>
          <w:b/>
          <w:sz w:val="20"/>
          <w:szCs w:val="20"/>
        </w:rPr>
      </w:pPr>
      <w:r>
        <w:rPr>
          <w:rFonts w:ascii="Arial" w:hAnsi="Arial"/>
          <w:b/>
          <w:sz w:val="20"/>
          <w:szCs w:val="20"/>
        </w:rPr>
        <w:t>Une solution de robotisation modulaire pour les grandes machines</w:t>
      </w:r>
    </w:p>
    <w:p w14:paraId="60B36DBA" w14:textId="77777777" w:rsidR="00693B92" w:rsidRDefault="009C2CB3" w:rsidP="00693B92">
      <w:pPr>
        <w:spacing w:after="200" w:line="360" w:lineRule="auto"/>
        <w:ind w:left="142"/>
        <w:jc w:val="both"/>
        <w:rPr>
          <w:rFonts w:ascii="Arial" w:eastAsiaTheme="minorHAnsi" w:hAnsi="Arial" w:cs="Arial"/>
          <w:sz w:val="20"/>
          <w:szCs w:val="20"/>
        </w:rPr>
      </w:pPr>
      <w:r>
        <w:rPr>
          <w:rFonts w:ascii="Arial" w:hAnsi="Arial"/>
          <w:sz w:val="20"/>
          <w:szCs w:val="20"/>
        </w:rPr>
        <w:t xml:space="preserve">La nouvelle solution d’automatisation </w:t>
      </w:r>
      <w:proofErr w:type="spellStart"/>
      <w:r>
        <w:rPr>
          <w:rFonts w:ascii="Arial" w:hAnsi="Arial"/>
          <w:sz w:val="20"/>
          <w:szCs w:val="20"/>
        </w:rPr>
        <w:t>iXcenter</w:t>
      </w:r>
      <w:proofErr w:type="spellEnd"/>
      <w:r>
        <w:rPr>
          <w:rFonts w:ascii="Arial" w:hAnsi="Arial"/>
          <w:sz w:val="20"/>
          <w:szCs w:val="20"/>
        </w:rPr>
        <w:t xml:space="preserve"> conçue pour les centres de tournage/fraisage de grande taille de la nouvelle série G est indubitablement une solution intéressante. Elle est actuellement présentée sur la nouvelle INDEX G400, nouvelle également. L’automatisation joue un rôle important en particulier sur les machines de cette taille (longueur de tournage jusqu’à 1 600 mm). En raison du poids des pièces, l’opérateur aura systématiquement besoin d’aide pour charger ou décharger la machine – par ex. par un pont roulant, sachant que le chargement manuel des pièces dans le mandrin prend beaucoup de temps. De ce fait, une manipulation automatisée s'avère vite amortie.</w:t>
      </w:r>
    </w:p>
    <w:p w14:paraId="5E857373" w14:textId="77777777" w:rsidR="009C2CB3" w:rsidRDefault="00A839F0" w:rsidP="00E43483">
      <w:pPr>
        <w:spacing w:after="200" w:line="360" w:lineRule="auto"/>
        <w:ind w:left="142"/>
        <w:jc w:val="both"/>
        <w:rPr>
          <w:rFonts w:ascii="Arial" w:eastAsiaTheme="minorHAnsi" w:hAnsi="Arial" w:cs="Arial"/>
          <w:sz w:val="20"/>
          <w:szCs w:val="20"/>
        </w:rPr>
      </w:pPr>
      <w:r>
        <w:rPr>
          <w:rFonts w:ascii="Arial" w:hAnsi="Arial"/>
          <w:sz w:val="20"/>
          <w:szCs w:val="20"/>
        </w:rPr>
        <w:t xml:space="preserve">Pour le grand </w:t>
      </w:r>
      <w:proofErr w:type="spellStart"/>
      <w:r>
        <w:rPr>
          <w:rFonts w:ascii="Arial" w:hAnsi="Arial"/>
          <w:sz w:val="20"/>
          <w:szCs w:val="20"/>
        </w:rPr>
        <w:t>iXcenter</w:t>
      </w:r>
      <w:proofErr w:type="spellEnd"/>
      <w:r>
        <w:rPr>
          <w:rFonts w:ascii="Arial" w:hAnsi="Arial"/>
          <w:sz w:val="20"/>
          <w:szCs w:val="20"/>
        </w:rPr>
        <w:t>, l’équipe du bureau d’étude INDEX a opté pour une structure modulaire. L'automatisation se compose principalement d’une cellule de robot standard quasi autonome, positionnée devant la machine.</w:t>
      </w:r>
      <w:r>
        <w:t xml:space="preserve"> </w:t>
      </w:r>
      <w:r>
        <w:rPr>
          <w:rFonts w:ascii="Arial" w:hAnsi="Arial"/>
          <w:sz w:val="20"/>
          <w:szCs w:val="20"/>
        </w:rPr>
        <w:t>Il s’agit d’une structure posée au sol sur laquelle est installé un robot à bras articulé d’une capacité de charge de 165 kg pour les modèles standard et jusqu’à 270 kg en option. Cette cellule sert de support à des modules différents fixés sur les deux côtés : des modules de palettes/rayonnages, des postes de mesure/contrôle ainsi que des dispositifs d’ébavurage, de nettoyage, de marquage au laser, etc. De ce fait, le robot ne prend pas seulement en charge le chargement et déchargement des pièces via la porte de la machine, mais il peut aussi s’occuper des processus successifs parallèlement à l’usinage souvent assez long.</w:t>
      </w:r>
    </w:p>
    <w:p w14:paraId="5E2B0912" w14:textId="77777777" w:rsidR="009B4073" w:rsidRDefault="00687B99" w:rsidP="00687B99">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Une grande flexibilité grâce à des modules standard équipés de solutions spéciales</w:t>
      </w:r>
    </w:p>
    <w:p w14:paraId="3407D739" w14:textId="77777777" w:rsidR="00FB31EA" w:rsidRDefault="00B61619" w:rsidP="00B959A6">
      <w:pPr>
        <w:spacing w:after="200" w:line="360" w:lineRule="auto"/>
        <w:ind w:left="142"/>
        <w:jc w:val="both"/>
        <w:rPr>
          <w:rFonts w:ascii="Arial" w:eastAsiaTheme="minorHAnsi" w:hAnsi="Arial" w:cs="Arial"/>
          <w:sz w:val="20"/>
          <w:szCs w:val="20"/>
        </w:rPr>
      </w:pPr>
      <w:r>
        <w:rPr>
          <w:rFonts w:ascii="Arial" w:hAnsi="Arial"/>
          <w:sz w:val="20"/>
          <w:szCs w:val="20"/>
        </w:rPr>
        <w:t>En matière de modules et d’activités du robot, INDEX couvre déjà une grande partie des applications par des solutions standard, de sorte à pouvoir satisfaire immédiatement bon nombre de souhaits de ses clients. Par exemple le changement de préhenseurs du robot pour la manipulation automatisée et alternée des éléments d’arbres et de brides que le robot charge dans la machine depuis un poste de palettes. À cet effet, le robot manipule automatiquement les préhenseurs correspondants depuis le poste de changement d’outils.</w:t>
      </w:r>
    </w:p>
    <w:p w14:paraId="2BD87DD3" w14:textId="77777777" w:rsidR="00F33DC6" w:rsidRPr="00F33DC6" w:rsidRDefault="00B61619" w:rsidP="00F33DC6">
      <w:pPr>
        <w:spacing w:after="200" w:line="360" w:lineRule="auto"/>
        <w:ind w:left="142"/>
        <w:jc w:val="both"/>
        <w:rPr>
          <w:rFonts w:ascii="Arial" w:eastAsiaTheme="minorHAnsi" w:hAnsi="Arial" w:cs="Arial"/>
          <w:sz w:val="20"/>
          <w:szCs w:val="20"/>
        </w:rPr>
      </w:pPr>
      <w:r>
        <w:rPr>
          <w:rFonts w:ascii="Arial" w:hAnsi="Arial"/>
          <w:sz w:val="20"/>
          <w:szCs w:val="20"/>
        </w:rPr>
        <w:t xml:space="preserve">INDEX apprécie les nouvelles idées et solutions spéciales qui permettent d’étendre la gamme des solutions </w:t>
      </w:r>
      <w:proofErr w:type="spellStart"/>
      <w:r>
        <w:rPr>
          <w:rFonts w:ascii="Arial" w:hAnsi="Arial"/>
          <w:sz w:val="20"/>
          <w:szCs w:val="20"/>
        </w:rPr>
        <w:t>iXcenter</w:t>
      </w:r>
      <w:proofErr w:type="spellEnd"/>
      <w:r>
        <w:rPr>
          <w:rFonts w:ascii="Arial" w:hAnsi="Arial"/>
          <w:sz w:val="20"/>
          <w:szCs w:val="20"/>
        </w:rPr>
        <w:t xml:space="preserve"> de grande taille. Comme le robot est en mesure d’atteindre et la broche principale, et la </w:t>
      </w:r>
      <w:proofErr w:type="spellStart"/>
      <w:r>
        <w:rPr>
          <w:rFonts w:ascii="Arial" w:hAnsi="Arial"/>
          <w:sz w:val="20"/>
          <w:szCs w:val="20"/>
        </w:rPr>
        <w:t>contrebroche</w:t>
      </w:r>
      <w:proofErr w:type="spellEnd"/>
      <w:r>
        <w:rPr>
          <w:rFonts w:ascii="Arial" w:hAnsi="Arial"/>
          <w:sz w:val="20"/>
          <w:szCs w:val="20"/>
        </w:rPr>
        <w:t>, des solutions pour le remplacement des mors de bridage dans la machine seraient par exemple parfaitement envisageables. Sur le centre de tournage/fraisage G420, l’implémentation du remplacement d’outils spéciaux sera prévue à l’avenir, puisque le magasin d'outils et la broche de fraisage se trouvent également « à portée de main » du robot.</w:t>
      </w:r>
    </w:p>
    <w:p w14:paraId="2B5FD282" w14:textId="77777777" w:rsidR="006A6F2B" w:rsidRPr="00D335FC" w:rsidRDefault="006A6F2B" w:rsidP="00192759">
      <w:pPr>
        <w:spacing w:after="200" w:line="360" w:lineRule="auto"/>
        <w:ind w:left="142"/>
        <w:jc w:val="both"/>
        <w:rPr>
          <w:rFonts w:ascii="Arial" w:eastAsiaTheme="minorHAnsi" w:hAnsi="Arial" w:cs="Arial"/>
          <w:sz w:val="20"/>
          <w:szCs w:val="20"/>
          <w:lang w:eastAsia="en-US"/>
        </w:rPr>
      </w:pPr>
    </w:p>
    <w:p w14:paraId="161B8A50" w14:textId="77777777" w:rsidR="00F32C8A" w:rsidRPr="00D335FC" w:rsidRDefault="00F32C8A" w:rsidP="00F32C8A">
      <w:pPr>
        <w:suppressLineNumbers/>
        <w:spacing w:line="336" w:lineRule="auto"/>
        <w:ind w:left="142" w:right="1843"/>
        <w:rPr>
          <w:rFonts w:ascii="Arial" w:hAnsi="Arial" w:cs="Arial"/>
          <w:sz w:val="20"/>
          <w:szCs w:val="20"/>
        </w:rPr>
      </w:pPr>
    </w:p>
    <w:p w14:paraId="3995E4AC" w14:textId="77777777" w:rsidR="00F32C8A" w:rsidRPr="00E879C0" w:rsidRDefault="00F32C8A" w:rsidP="00F32C8A">
      <w:pPr>
        <w:suppressLineNumbers/>
        <w:spacing w:line="336" w:lineRule="auto"/>
        <w:ind w:left="142" w:right="1843"/>
        <w:rPr>
          <w:rFonts w:ascii="Arial" w:hAnsi="Arial" w:cs="Arial"/>
          <w:sz w:val="20"/>
          <w:szCs w:val="20"/>
        </w:rPr>
      </w:pPr>
      <w:proofErr w:type="gramStart"/>
      <w:r w:rsidRPr="0030636F">
        <w:rPr>
          <w:rFonts w:ascii="Arial" w:hAnsi="Arial"/>
          <w:b/>
          <w:sz w:val="20"/>
          <w:szCs w:val="20"/>
          <w:lang w:val="en-US"/>
        </w:rPr>
        <w:t>Contact :</w:t>
      </w:r>
      <w:proofErr w:type="gramEnd"/>
      <w:r w:rsidRPr="0030636F">
        <w:rPr>
          <w:rFonts w:ascii="Arial" w:hAnsi="Arial"/>
          <w:sz w:val="20"/>
          <w:szCs w:val="20"/>
          <w:lang w:val="en-US"/>
        </w:rPr>
        <w:tab/>
        <w:t>INDEX-</w:t>
      </w:r>
      <w:proofErr w:type="spellStart"/>
      <w:r w:rsidRPr="0030636F">
        <w:rPr>
          <w:rFonts w:ascii="Arial" w:hAnsi="Arial"/>
          <w:sz w:val="20"/>
          <w:szCs w:val="20"/>
          <w:lang w:val="en-US"/>
        </w:rPr>
        <w:t>Werke</w:t>
      </w:r>
      <w:proofErr w:type="spellEnd"/>
      <w:r w:rsidRPr="0030636F">
        <w:rPr>
          <w:rFonts w:ascii="Arial" w:hAnsi="Arial"/>
          <w:sz w:val="20"/>
          <w:szCs w:val="20"/>
          <w:lang w:val="en-US"/>
        </w:rPr>
        <w:t xml:space="preserve"> GmbH &amp; Co. </w:t>
      </w:r>
      <w:r>
        <w:rPr>
          <w:rFonts w:ascii="Arial" w:hAnsi="Arial"/>
          <w:sz w:val="20"/>
          <w:szCs w:val="20"/>
        </w:rPr>
        <w:t xml:space="preserve">KG Hahn &amp; </w:t>
      </w:r>
      <w:proofErr w:type="spellStart"/>
      <w:r>
        <w:rPr>
          <w:rFonts w:ascii="Arial" w:hAnsi="Arial"/>
          <w:sz w:val="20"/>
          <w:szCs w:val="20"/>
        </w:rPr>
        <w:t>Tessky</w:t>
      </w:r>
      <w:proofErr w:type="spellEnd"/>
    </w:p>
    <w:p w14:paraId="46726A82"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2E6CD6C4"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2077F95E" w14:textId="77777777" w:rsidR="00F32C8A" w:rsidRPr="00E879C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35A64EA9" w14:textId="77777777" w:rsidR="00F32C8A" w:rsidRPr="00D335FC" w:rsidRDefault="00417F1A" w:rsidP="00F32C8A">
      <w:pPr>
        <w:suppressLineNumbers/>
        <w:spacing w:line="336" w:lineRule="auto"/>
        <w:ind w:left="709" w:right="1843" w:firstLine="709"/>
        <w:rPr>
          <w:rFonts w:ascii="Arial" w:hAnsi="Arial" w:cs="Arial"/>
          <w:sz w:val="20"/>
          <w:szCs w:val="20"/>
        </w:rPr>
      </w:pPr>
      <w:hyperlink r:id="rId8" w:history="1">
        <w:r w:rsidR="003426A8">
          <w:rPr>
            <w:rStyle w:val="Hyperlink"/>
            <w:rFonts w:ascii="Arial" w:hAnsi="Arial"/>
            <w:sz w:val="20"/>
            <w:szCs w:val="20"/>
          </w:rPr>
          <w:t>rainer.gondek@index-werke.de</w:t>
        </w:r>
      </w:hyperlink>
      <w:r w:rsidR="003426A8">
        <w:rPr>
          <w:rFonts w:ascii="Arial" w:hAnsi="Arial"/>
          <w:sz w:val="20"/>
          <w:szCs w:val="20"/>
        </w:rPr>
        <w:t xml:space="preserve"> </w:t>
      </w:r>
    </w:p>
    <w:p w14:paraId="4824761F" w14:textId="77777777" w:rsidR="005F3E24" w:rsidRPr="00D335FC" w:rsidRDefault="005F3E24" w:rsidP="003C2277">
      <w:pPr>
        <w:spacing w:after="200" w:line="360" w:lineRule="auto"/>
        <w:ind w:left="142"/>
        <w:jc w:val="both"/>
        <w:rPr>
          <w:rFonts w:ascii="Arial" w:eastAsiaTheme="minorHAnsi" w:hAnsi="Arial" w:cs="Arial"/>
          <w:sz w:val="20"/>
          <w:szCs w:val="20"/>
          <w:lang w:eastAsia="en-US"/>
        </w:rPr>
      </w:pPr>
    </w:p>
    <w:p w14:paraId="39D45D1A" w14:textId="77777777" w:rsidR="00F32C8A" w:rsidRPr="00D335FC" w:rsidRDefault="00F32C8A" w:rsidP="003C2277">
      <w:pPr>
        <w:spacing w:after="200" w:line="360" w:lineRule="auto"/>
        <w:ind w:left="142"/>
        <w:jc w:val="both"/>
        <w:rPr>
          <w:rFonts w:ascii="Arial" w:eastAsiaTheme="minorHAnsi" w:hAnsi="Arial" w:cs="Arial"/>
          <w:sz w:val="20"/>
          <w:szCs w:val="20"/>
          <w:lang w:eastAsia="en-US"/>
        </w:rPr>
      </w:pPr>
    </w:p>
    <w:p w14:paraId="111AA3BF" w14:textId="77777777" w:rsidR="002A538C" w:rsidRDefault="002A538C" w:rsidP="005A353A">
      <w:pPr>
        <w:spacing w:after="200" w:line="360" w:lineRule="auto"/>
        <w:ind w:left="142"/>
        <w:jc w:val="both"/>
        <w:rPr>
          <w:rFonts w:ascii="Arial" w:hAnsi="Arial"/>
          <w:b/>
          <w:sz w:val="20"/>
          <w:szCs w:val="20"/>
          <w:lang w:val="de-DE"/>
        </w:rPr>
      </w:pPr>
    </w:p>
    <w:p w14:paraId="7B202821" w14:textId="77777777" w:rsidR="002A538C" w:rsidRDefault="002A538C" w:rsidP="005A353A">
      <w:pPr>
        <w:spacing w:after="200" w:line="360" w:lineRule="auto"/>
        <w:ind w:left="142"/>
        <w:jc w:val="both"/>
        <w:rPr>
          <w:rFonts w:ascii="Arial" w:hAnsi="Arial"/>
          <w:b/>
          <w:sz w:val="20"/>
          <w:szCs w:val="20"/>
          <w:lang w:val="de-DE"/>
        </w:rPr>
      </w:pPr>
    </w:p>
    <w:p w14:paraId="5606DDE9" w14:textId="77777777" w:rsidR="002A538C" w:rsidRDefault="002A538C" w:rsidP="005A353A">
      <w:pPr>
        <w:spacing w:after="200" w:line="360" w:lineRule="auto"/>
        <w:ind w:left="142"/>
        <w:jc w:val="both"/>
        <w:rPr>
          <w:rFonts w:ascii="Arial" w:hAnsi="Arial"/>
          <w:b/>
          <w:sz w:val="20"/>
          <w:szCs w:val="20"/>
          <w:lang w:val="de-DE"/>
        </w:rPr>
      </w:pPr>
    </w:p>
    <w:p w14:paraId="4A6F9AA1" w14:textId="77777777" w:rsidR="002A538C" w:rsidRDefault="002A538C" w:rsidP="005A353A">
      <w:pPr>
        <w:spacing w:after="200" w:line="360" w:lineRule="auto"/>
        <w:ind w:left="142"/>
        <w:jc w:val="both"/>
        <w:rPr>
          <w:rFonts w:ascii="Arial" w:hAnsi="Arial"/>
          <w:b/>
          <w:sz w:val="20"/>
          <w:szCs w:val="20"/>
          <w:lang w:val="de-DE"/>
        </w:rPr>
      </w:pPr>
    </w:p>
    <w:p w14:paraId="7133BF17" w14:textId="77777777" w:rsidR="002A538C" w:rsidRDefault="002A538C" w:rsidP="005A353A">
      <w:pPr>
        <w:spacing w:after="200" w:line="360" w:lineRule="auto"/>
        <w:ind w:left="142"/>
        <w:jc w:val="both"/>
        <w:rPr>
          <w:rFonts w:ascii="Arial" w:hAnsi="Arial"/>
          <w:b/>
          <w:sz w:val="20"/>
          <w:szCs w:val="20"/>
          <w:lang w:val="de-DE"/>
        </w:rPr>
      </w:pPr>
    </w:p>
    <w:p w14:paraId="054EB654" w14:textId="77777777" w:rsidR="002A538C" w:rsidRDefault="002A538C" w:rsidP="005A353A">
      <w:pPr>
        <w:spacing w:after="200" w:line="360" w:lineRule="auto"/>
        <w:ind w:left="142"/>
        <w:jc w:val="both"/>
        <w:rPr>
          <w:rFonts w:ascii="Arial" w:hAnsi="Arial"/>
          <w:b/>
          <w:sz w:val="20"/>
          <w:szCs w:val="20"/>
          <w:lang w:val="de-DE"/>
        </w:rPr>
      </w:pPr>
    </w:p>
    <w:p w14:paraId="37ED1456" w14:textId="77777777" w:rsidR="002A538C" w:rsidRDefault="002A538C" w:rsidP="005A353A">
      <w:pPr>
        <w:spacing w:after="200" w:line="360" w:lineRule="auto"/>
        <w:ind w:left="142"/>
        <w:jc w:val="both"/>
        <w:rPr>
          <w:rFonts w:ascii="Arial" w:hAnsi="Arial"/>
          <w:b/>
          <w:sz w:val="20"/>
          <w:szCs w:val="20"/>
          <w:lang w:val="de-DE"/>
        </w:rPr>
      </w:pPr>
    </w:p>
    <w:p w14:paraId="7EB3D849" w14:textId="6C7AECE5" w:rsidR="00422AE3" w:rsidRPr="002A538C" w:rsidRDefault="00417F1A" w:rsidP="002A538C">
      <w:pPr>
        <w:spacing w:after="200" w:line="360" w:lineRule="auto"/>
        <w:ind w:left="142"/>
        <w:jc w:val="both"/>
        <w:rPr>
          <w:rFonts w:ascii="Arial" w:eastAsiaTheme="minorHAnsi" w:hAnsi="Arial" w:cs="Arial"/>
          <w:b/>
          <w:sz w:val="20"/>
          <w:szCs w:val="20"/>
          <w:lang w:val="de-DE"/>
        </w:rPr>
      </w:pPr>
      <w:proofErr w:type="spellStart"/>
      <w:r>
        <w:rPr>
          <w:rFonts w:ascii="Arial" w:hAnsi="Arial"/>
          <w:b/>
          <w:sz w:val="20"/>
          <w:szCs w:val="20"/>
          <w:lang w:val="de-DE"/>
        </w:rPr>
        <w:lastRenderedPageBreak/>
        <w:t>Photos</w:t>
      </w:r>
      <w:bookmarkStart w:id="0" w:name="_GoBack"/>
      <w:bookmarkEnd w:id="0"/>
      <w:proofErr w:type="spellEnd"/>
      <w:r w:rsidR="00F32C8A" w:rsidRPr="002A538C">
        <w:rPr>
          <w:rFonts w:ascii="Arial" w:hAnsi="Arial"/>
          <w:b/>
          <w:sz w:val="20"/>
          <w:szCs w:val="20"/>
          <w:lang w:val="de-DE"/>
        </w:rPr>
        <w:t>:</w:t>
      </w:r>
    </w:p>
    <w:p w14:paraId="0AC85353" w14:textId="668B38FD" w:rsidR="002A538C" w:rsidRPr="002A538C" w:rsidRDefault="002A538C" w:rsidP="002A538C">
      <w:pPr>
        <w:spacing w:after="200" w:line="360" w:lineRule="auto"/>
        <w:ind w:left="142"/>
        <w:jc w:val="both"/>
        <w:rPr>
          <w:rFonts w:ascii="Arial" w:eastAsiaTheme="minorHAnsi" w:hAnsi="Arial" w:cs="Arial"/>
          <w:sz w:val="20"/>
          <w:szCs w:val="20"/>
          <w:lang w:val="de-DE" w:eastAsia="en-US"/>
        </w:rPr>
      </w:pPr>
      <w:r>
        <w:rPr>
          <w:noProof/>
          <w:lang w:val="de-DE" w:eastAsia="zh-CN"/>
        </w:rPr>
        <w:drawing>
          <wp:inline distT="0" distB="0" distL="0" distR="0" wp14:anchorId="71B89E18" wp14:editId="4A8C293C">
            <wp:extent cx="4000500" cy="3138896"/>
            <wp:effectExtent l="0" t="0" r="0" b="4445"/>
            <wp:docPr id="2" name="Grafik 2" descr="https://www.index-werke.de/fileadmin/_processed_/c/3/csm_tnl20_004_da33f423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ndex-werke.de/fileadmin/_processed_/c/3/csm_tnl20_004_da33f4238b.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1538"/>
                    <a:stretch/>
                  </pic:blipFill>
                  <pic:spPr bwMode="auto">
                    <a:xfrm>
                      <a:off x="0" y="0"/>
                      <a:ext cx="4021161" cy="3155107"/>
                    </a:xfrm>
                    <a:prstGeom prst="rect">
                      <a:avLst/>
                    </a:prstGeom>
                    <a:noFill/>
                    <a:ln>
                      <a:noFill/>
                    </a:ln>
                    <a:extLst>
                      <a:ext uri="{53640926-AAD7-44D8-BBD7-CCE9431645EC}">
                        <a14:shadowObscured xmlns:a14="http://schemas.microsoft.com/office/drawing/2010/main"/>
                      </a:ext>
                    </a:extLst>
                  </pic:spPr>
                </pic:pic>
              </a:graphicData>
            </a:graphic>
          </wp:inline>
        </w:drawing>
      </w:r>
    </w:p>
    <w:p w14:paraId="02175E0C" w14:textId="07EC1C01" w:rsidR="002A538C" w:rsidRPr="002A538C" w:rsidRDefault="002A538C" w:rsidP="002A538C">
      <w:pPr>
        <w:autoSpaceDE w:val="0"/>
        <w:autoSpaceDN w:val="0"/>
        <w:adjustRightInd w:val="0"/>
        <w:spacing w:line="360" w:lineRule="auto"/>
        <w:rPr>
          <w:rFonts w:ascii="Arial" w:eastAsiaTheme="minorHAnsi" w:hAnsi="Arial" w:cs="Arial"/>
          <w:sz w:val="20"/>
          <w:szCs w:val="20"/>
          <w:lang w:val="de-DE"/>
        </w:rPr>
      </w:pPr>
      <w:r w:rsidRPr="002A538C">
        <w:rPr>
          <w:rFonts w:ascii="Arial" w:hAnsi="Arial" w:cs="Arial"/>
          <w:b/>
          <w:bCs/>
          <w:color w:val="000000"/>
          <w:sz w:val="20"/>
          <w:szCs w:val="20"/>
        </w:rPr>
        <w:t xml:space="preserve">Image 001: </w:t>
      </w:r>
      <w:r w:rsidRPr="002A538C">
        <w:rPr>
          <w:rFonts w:ascii="Arial" w:hAnsi="Arial" w:cs="Arial"/>
          <w:bCs/>
          <w:color w:val="000000"/>
          <w:sz w:val="20"/>
          <w:szCs w:val="20"/>
        </w:rPr>
        <w:t xml:space="preserve">TRAUB TNL20 </w:t>
      </w:r>
      <w:r w:rsidRPr="002A538C">
        <w:rPr>
          <w:rFonts w:ascii="Arial" w:hAnsi="Arial" w:cs="Arial"/>
          <w:color w:val="000000"/>
          <w:sz w:val="20"/>
          <w:szCs w:val="20"/>
        </w:rPr>
        <w:t xml:space="preserve">– Le tournage longitudinal et transversal productif pour les pièces moyennement et très complexes réalises à partir de barres ou avec cellule de robot intégrée. </w:t>
      </w:r>
      <w:proofErr w:type="spellStart"/>
      <w:r>
        <w:rPr>
          <w:rFonts w:ascii="Arial" w:hAnsi="Arial"/>
          <w:sz w:val="20"/>
          <w:szCs w:val="20"/>
          <w:lang w:val="de-DE"/>
        </w:rPr>
        <w:t>Photo</w:t>
      </w:r>
      <w:proofErr w:type="spellEnd"/>
      <w:r>
        <w:rPr>
          <w:rFonts w:ascii="Arial" w:hAnsi="Arial"/>
          <w:sz w:val="20"/>
          <w:szCs w:val="20"/>
          <w:lang w:val="de-DE"/>
        </w:rPr>
        <w:t>:</w:t>
      </w:r>
      <w:r w:rsidRPr="002A538C">
        <w:rPr>
          <w:rFonts w:ascii="Arial" w:hAnsi="Arial"/>
          <w:sz w:val="20"/>
          <w:szCs w:val="20"/>
          <w:lang w:val="de-DE"/>
        </w:rPr>
        <w:t xml:space="preserve"> INDEX</w:t>
      </w:r>
    </w:p>
    <w:p w14:paraId="7B27F034" w14:textId="4E432CB8" w:rsidR="002A538C" w:rsidRPr="002A538C" w:rsidRDefault="002A538C" w:rsidP="002A538C">
      <w:pPr>
        <w:spacing w:after="200" w:line="360" w:lineRule="auto"/>
        <w:jc w:val="both"/>
        <w:rPr>
          <w:rFonts w:ascii="Arial" w:eastAsiaTheme="minorHAnsi" w:hAnsi="Arial" w:cs="Arial"/>
          <w:sz w:val="20"/>
          <w:szCs w:val="20"/>
          <w:lang w:val="de-DE" w:eastAsia="en-US"/>
        </w:rPr>
      </w:pPr>
    </w:p>
    <w:p w14:paraId="4636FFE3" w14:textId="77777777" w:rsidR="002A538C" w:rsidRDefault="002A538C" w:rsidP="002A538C">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5E30C330" wp14:editId="5EBC40BD">
            <wp:extent cx="3929937" cy="2095500"/>
            <wp:effectExtent l="0" t="0" r="0" b="0"/>
            <wp:docPr id="3" name="Grafik 3" descr="https://www.index-werke.de/fileadmin/user_upload/INDEX/C100/XCenter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ndex-werke.de/fileadmin/user_upload/INDEX/C100/XCenter_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8233" cy="2115920"/>
                    </a:xfrm>
                    <a:prstGeom prst="rect">
                      <a:avLst/>
                    </a:prstGeom>
                    <a:noFill/>
                    <a:ln>
                      <a:noFill/>
                    </a:ln>
                  </pic:spPr>
                </pic:pic>
              </a:graphicData>
            </a:graphic>
          </wp:inline>
        </w:drawing>
      </w:r>
    </w:p>
    <w:p w14:paraId="3868A7CC" w14:textId="1CE6CD91" w:rsidR="002A538C" w:rsidRPr="002A538C" w:rsidRDefault="002A538C" w:rsidP="002A538C">
      <w:pPr>
        <w:spacing w:after="200" w:line="360" w:lineRule="auto"/>
        <w:ind w:left="142"/>
        <w:jc w:val="both"/>
        <w:rPr>
          <w:rFonts w:ascii="Arial" w:eastAsiaTheme="minorHAnsi" w:hAnsi="Arial" w:cs="Arial"/>
          <w:sz w:val="20"/>
          <w:szCs w:val="20"/>
        </w:rPr>
      </w:pPr>
      <w:r w:rsidRPr="002A538C">
        <w:rPr>
          <w:rFonts w:ascii="Arial" w:hAnsi="Arial" w:cs="Arial"/>
          <w:b/>
          <w:bCs/>
          <w:color w:val="000000"/>
          <w:sz w:val="20"/>
          <w:szCs w:val="20"/>
        </w:rPr>
        <w:t>Image 002</w:t>
      </w:r>
      <w:r w:rsidRPr="002A538C">
        <w:rPr>
          <w:rFonts w:ascii="Arial" w:hAnsi="Arial" w:cs="Arial"/>
          <w:bCs/>
          <w:color w:val="000000"/>
          <w:sz w:val="20"/>
          <w:szCs w:val="20"/>
        </w:rPr>
        <w:t xml:space="preserve">: INDEX C200 </w:t>
      </w:r>
      <w:r w:rsidRPr="002A538C">
        <w:rPr>
          <w:rFonts w:ascii="Arial" w:hAnsi="Arial" w:cs="Arial"/>
          <w:color w:val="000000"/>
          <w:sz w:val="20"/>
          <w:szCs w:val="20"/>
        </w:rPr>
        <w:t xml:space="preserve">– </w:t>
      </w:r>
      <w:r w:rsidRPr="002A538C">
        <w:rPr>
          <w:rFonts w:ascii="Arial" w:eastAsiaTheme="minorHAnsi" w:hAnsi="Arial" w:cs="Arial"/>
          <w:sz w:val="20"/>
          <w:szCs w:val="20"/>
          <w:lang w:eastAsia="en-US"/>
        </w:rPr>
        <w:t xml:space="preserve">L‘espace disponible au-dessus du magasin vertical peut être utilisé pour des </w:t>
      </w:r>
      <w:proofErr w:type="spellStart"/>
      <w:r w:rsidRPr="002A538C">
        <w:rPr>
          <w:rFonts w:ascii="Arial" w:eastAsiaTheme="minorHAnsi" w:hAnsi="Arial" w:cs="Arial"/>
          <w:sz w:val="20"/>
          <w:szCs w:val="20"/>
          <w:lang w:eastAsia="en-US"/>
        </w:rPr>
        <w:t>process</w:t>
      </w:r>
      <w:proofErr w:type="spellEnd"/>
      <w:r w:rsidRPr="002A538C">
        <w:rPr>
          <w:rFonts w:ascii="Arial" w:eastAsiaTheme="minorHAnsi" w:hAnsi="Arial" w:cs="Arial"/>
          <w:sz w:val="20"/>
          <w:szCs w:val="20"/>
          <w:lang w:eastAsia="en-US"/>
        </w:rPr>
        <w:t xml:space="preserve"> en aval tels que le nettoyage</w:t>
      </w:r>
      <w:r>
        <w:rPr>
          <w:rFonts w:ascii="Arial" w:eastAsiaTheme="minorHAnsi" w:hAnsi="Arial" w:cs="Arial"/>
          <w:sz w:val="20"/>
          <w:szCs w:val="20"/>
          <w:lang w:eastAsia="en-US"/>
        </w:rPr>
        <w:t>, les mesures l‘</w:t>
      </w:r>
      <w:proofErr w:type="spellStart"/>
      <w:r>
        <w:rPr>
          <w:rFonts w:ascii="Arial" w:eastAsiaTheme="minorHAnsi" w:hAnsi="Arial" w:cs="Arial"/>
          <w:sz w:val="20"/>
          <w:szCs w:val="20"/>
          <w:lang w:eastAsia="en-US"/>
        </w:rPr>
        <w:t>ébavuragee</w:t>
      </w:r>
      <w:proofErr w:type="spellEnd"/>
      <w:r w:rsidRPr="002A538C">
        <w:rPr>
          <w:rFonts w:ascii="Arial" w:eastAsiaTheme="minorHAnsi" w:hAnsi="Arial" w:cs="Arial"/>
          <w:sz w:val="20"/>
          <w:szCs w:val="20"/>
          <w:lang w:eastAsia="en-US"/>
        </w:rPr>
        <w:t xml:space="preserve">. </w:t>
      </w:r>
      <w:r w:rsidRPr="002A538C">
        <w:rPr>
          <w:rFonts w:ascii="Arial" w:hAnsi="Arial"/>
          <w:sz w:val="20"/>
          <w:szCs w:val="20"/>
        </w:rPr>
        <w:t>Photo: INDEX</w:t>
      </w:r>
    </w:p>
    <w:p w14:paraId="6EE5C397" w14:textId="6A757DD1" w:rsidR="002A538C" w:rsidRPr="002A538C" w:rsidRDefault="002A538C" w:rsidP="002A538C">
      <w:pPr>
        <w:autoSpaceDE w:val="0"/>
        <w:autoSpaceDN w:val="0"/>
        <w:adjustRightInd w:val="0"/>
        <w:rPr>
          <w:rFonts w:ascii="Arial" w:eastAsiaTheme="minorHAnsi" w:hAnsi="Arial" w:cs="Arial"/>
          <w:sz w:val="20"/>
          <w:szCs w:val="20"/>
          <w:lang w:eastAsia="en-US"/>
        </w:rPr>
      </w:pPr>
    </w:p>
    <w:p w14:paraId="7F8D59EF" w14:textId="77777777" w:rsidR="002A538C" w:rsidRPr="002A538C" w:rsidRDefault="002A538C" w:rsidP="002A538C">
      <w:pPr>
        <w:spacing w:after="200" w:line="360" w:lineRule="auto"/>
        <w:ind w:left="142"/>
        <w:jc w:val="both"/>
        <w:rPr>
          <w:rFonts w:ascii="Arial" w:eastAsiaTheme="minorHAnsi" w:hAnsi="Arial" w:cs="Arial"/>
          <w:sz w:val="20"/>
          <w:szCs w:val="20"/>
          <w:lang w:eastAsia="en-US"/>
        </w:rPr>
      </w:pPr>
    </w:p>
    <w:p w14:paraId="6CC01D2F" w14:textId="77777777" w:rsidR="002A538C" w:rsidRDefault="002A538C" w:rsidP="002A538C">
      <w:pPr>
        <w:spacing w:after="200" w:line="360" w:lineRule="auto"/>
        <w:ind w:left="142"/>
        <w:jc w:val="both"/>
        <w:rPr>
          <w:rFonts w:ascii="Arial" w:eastAsiaTheme="minorHAnsi" w:hAnsi="Arial" w:cs="Arial"/>
          <w:sz w:val="20"/>
          <w:szCs w:val="20"/>
          <w:lang w:eastAsia="en-US"/>
        </w:rPr>
      </w:pPr>
      <w:r>
        <w:rPr>
          <w:noProof/>
          <w:lang w:val="de-DE" w:eastAsia="zh-CN"/>
        </w:rPr>
        <w:lastRenderedPageBreak/>
        <w:drawing>
          <wp:inline distT="0" distB="0" distL="0" distR="0" wp14:anchorId="5F74CA9B" wp14:editId="7CFA5604">
            <wp:extent cx="4102632" cy="2247900"/>
            <wp:effectExtent l="0" t="0" r="0" b="0"/>
            <wp:docPr id="1" name="Bild 1" descr="https://www.index-werke.de/fileadmin/_processed_/0/f/csm_INDEX_G200-0008_82905de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_processed_/0/f/csm_INDEX_G200-0008_82905de16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65327" cy="2282252"/>
                    </a:xfrm>
                    <a:prstGeom prst="rect">
                      <a:avLst/>
                    </a:prstGeom>
                    <a:noFill/>
                    <a:ln>
                      <a:noFill/>
                    </a:ln>
                  </pic:spPr>
                </pic:pic>
              </a:graphicData>
            </a:graphic>
          </wp:inline>
        </w:drawing>
      </w:r>
    </w:p>
    <w:p w14:paraId="1412B31B" w14:textId="7B8795E5" w:rsidR="002A538C" w:rsidRPr="002A538C" w:rsidRDefault="002A538C" w:rsidP="002A538C">
      <w:pPr>
        <w:spacing w:after="200" w:line="360" w:lineRule="auto"/>
        <w:ind w:left="142"/>
        <w:jc w:val="both"/>
        <w:rPr>
          <w:rFonts w:ascii="Arial" w:eastAsiaTheme="minorHAnsi" w:hAnsi="Arial" w:cs="Arial"/>
          <w:sz w:val="20"/>
          <w:szCs w:val="20"/>
        </w:rPr>
      </w:pPr>
      <w:r w:rsidRPr="002A538C">
        <w:rPr>
          <w:rFonts w:ascii="Arial" w:hAnsi="Arial" w:cs="Arial"/>
          <w:b/>
          <w:bCs/>
          <w:color w:val="000000"/>
          <w:sz w:val="20"/>
          <w:szCs w:val="20"/>
        </w:rPr>
        <w:t xml:space="preserve">Image 003: </w:t>
      </w:r>
      <w:r w:rsidRPr="002A538C">
        <w:rPr>
          <w:rFonts w:ascii="Arial" w:hAnsi="Arial" w:cs="Arial"/>
          <w:bCs/>
          <w:color w:val="000000"/>
          <w:sz w:val="20"/>
          <w:szCs w:val="20"/>
        </w:rPr>
        <w:t xml:space="preserve">INDEX G200 </w:t>
      </w:r>
      <w:r w:rsidRPr="002A538C">
        <w:rPr>
          <w:rFonts w:ascii="Arial" w:hAnsi="Arial" w:cs="Arial"/>
          <w:color w:val="000000"/>
          <w:sz w:val="20"/>
          <w:szCs w:val="20"/>
        </w:rPr>
        <w:t xml:space="preserve">– </w:t>
      </w:r>
      <w:r w:rsidRPr="002A538C">
        <w:rPr>
          <w:rFonts w:ascii="Arial" w:eastAsiaTheme="minorHAnsi" w:hAnsi="Arial" w:cs="Arial"/>
          <w:sz w:val="20"/>
          <w:szCs w:val="20"/>
          <w:lang w:eastAsia="en-US"/>
        </w:rPr>
        <w:t xml:space="preserve"> N’étant plus intégrée dans la machine, elle se trouve sur une plateforme équipée de guidages linéaires qui est verrouillée devant le compartiment d’usinage pendant la production. </w:t>
      </w:r>
      <w:r w:rsidRPr="002A538C">
        <w:rPr>
          <w:rFonts w:ascii="Arial" w:hAnsi="Arial"/>
          <w:sz w:val="20"/>
          <w:szCs w:val="20"/>
        </w:rPr>
        <w:t>Photo: INDEX</w:t>
      </w:r>
    </w:p>
    <w:p w14:paraId="428CA438" w14:textId="15CDD28A" w:rsidR="002A538C" w:rsidRPr="002A538C" w:rsidRDefault="002A538C" w:rsidP="002A538C">
      <w:pPr>
        <w:autoSpaceDE w:val="0"/>
        <w:autoSpaceDN w:val="0"/>
        <w:adjustRightInd w:val="0"/>
        <w:rPr>
          <w:noProof/>
          <w:lang w:eastAsia="zh-CN"/>
        </w:rPr>
      </w:pPr>
    </w:p>
    <w:p w14:paraId="2884C393" w14:textId="77777777" w:rsidR="002A538C" w:rsidRDefault="002A538C" w:rsidP="002A538C">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361F68C7" wp14:editId="3392CCC7">
            <wp:extent cx="4124325" cy="2755760"/>
            <wp:effectExtent l="0" t="0" r="0" b="6985"/>
            <wp:docPr id="4" name="Bild 1" descr="https://www.index-werke.de/fileadmin/_processed_/f/c/csm_G400_neu_8da9db88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_processed_/f/c/csm_G400_neu_8da9db886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0229" cy="2773068"/>
                    </a:xfrm>
                    <a:prstGeom prst="rect">
                      <a:avLst/>
                    </a:prstGeom>
                    <a:noFill/>
                    <a:ln>
                      <a:noFill/>
                    </a:ln>
                  </pic:spPr>
                </pic:pic>
              </a:graphicData>
            </a:graphic>
          </wp:inline>
        </w:drawing>
      </w:r>
    </w:p>
    <w:p w14:paraId="7E70915D" w14:textId="2028D778" w:rsidR="002A538C" w:rsidRPr="002A538C" w:rsidRDefault="002A538C" w:rsidP="002A538C">
      <w:pPr>
        <w:spacing w:after="200" w:line="360" w:lineRule="auto"/>
        <w:ind w:left="142"/>
        <w:jc w:val="both"/>
        <w:rPr>
          <w:rFonts w:ascii="Arial" w:eastAsiaTheme="minorHAnsi" w:hAnsi="Arial" w:cs="Arial"/>
          <w:sz w:val="20"/>
          <w:szCs w:val="20"/>
        </w:rPr>
      </w:pPr>
      <w:r w:rsidRPr="002A538C">
        <w:rPr>
          <w:rFonts w:ascii="Arial" w:hAnsi="Arial" w:cs="Arial"/>
          <w:b/>
          <w:bCs/>
          <w:color w:val="000000"/>
          <w:sz w:val="20"/>
          <w:szCs w:val="20"/>
        </w:rPr>
        <w:t>Image 004</w:t>
      </w:r>
      <w:r w:rsidRPr="002A538C">
        <w:rPr>
          <w:rFonts w:ascii="Arial" w:hAnsi="Arial" w:cs="Arial"/>
          <w:bCs/>
          <w:color w:val="000000"/>
          <w:sz w:val="20"/>
          <w:szCs w:val="20"/>
        </w:rPr>
        <w:t xml:space="preserve">: INDEX G400 </w:t>
      </w:r>
      <w:r w:rsidRPr="002A538C">
        <w:rPr>
          <w:rFonts w:ascii="Arial" w:hAnsi="Arial" w:cs="Arial"/>
          <w:color w:val="000000"/>
          <w:sz w:val="20"/>
          <w:szCs w:val="20"/>
        </w:rPr>
        <w:t xml:space="preserve">– </w:t>
      </w:r>
      <w:r w:rsidRPr="002A538C">
        <w:rPr>
          <w:rFonts w:ascii="Arial" w:eastAsiaTheme="minorHAnsi" w:hAnsi="Arial" w:cs="Arial"/>
          <w:sz w:val="20"/>
          <w:szCs w:val="20"/>
          <w:lang w:eastAsia="en-US"/>
        </w:rPr>
        <w:t xml:space="preserve">Une solution de robotisation modulaire pour les grandes </w:t>
      </w:r>
      <w:proofErr w:type="spellStart"/>
      <w:r w:rsidRPr="002A538C">
        <w:rPr>
          <w:rFonts w:ascii="Arial" w:eastAsiaTheme="minorHAnsi" w:hAnsi="Arial" w:cs="Arial"/>
          <w:sz w:val="20"/>
          <w:szCs w:val="20"/>
          <w:lang w:eastAsia="en-US"/>
        </w:rPr>
        <w:t>machines</w:t>
      </w:r>
      <w:r w:rsidRPr="002A538C">
        <w:rPr>
          <w:rFonts w:ascii="Arial" w:hAnsi="Arial"/>
          <w:sz w:val="20"/>
          <w:szCs w:val="20"/>
        </w:rPr>
        <w:t>Photo</w:t>
      </w:r>
      <w:proofErr w:type="spellEnd"/>
      <w:r w:rsidRPr="002A538C">
        <w:rPr>
          <w:rFonts w:ascii="Arial" w:hAnsi="Arial"/>
          <w:sz w:val="20"/>
          <w:szCs w:val="20"/>
        </w:rPr>
        <w:t>: INDEX</w:t>
      </w:r>
    </w:p>
    <w:p w14:paraId="084F9FF8" w14:textId="7245E509" w:rsidR="002A538C" w:rsidRPr="002A538C" w:rsidRDefault="002A538C" w:rsidP="002A538C">
      <w:pPr>
        <w:autoSpaceDE w:val="0"/>
        <w:autoSpaceDN w:val="0"/>
        <w:adjustRightInd w:val="0"/>
        <w:rPr>
          <w:rFonts w:ascii="Arial" w:eastAsiaTheme="minorHAnsi" w:hAnsi="Arial" w:cs="Arial"/>
          <w:sz w:val="20"/>
          <w:szCs w:val="20"/>
          <w:lang w:eastAsia="en-US"/>
        </w:rPr>
      </w:pPr>
    </w:p>
    <w:p w14:paraId="3D013E13" w14:textId="77777777" w:rsidR="005A353A" w:rsidRPr="002A538C" w:rsidRDefault="005A353A" w:rsidP="00D14773">
      <w:pPr>
        <w:spacing w:after="200" w:line="360" w:lineRule="auto"/>
        <w:ind w:left="142"/>
        <w:jc w:val="both"/>
        <w:rPr>
          <w:rFonts w:ascii="Arial" w:eastAsiaTheme="minorHAnsi" w:hAnsi="Arial" w:cs="Arial"/>
          <w:sz w:val="20"/>
          <w:szCs w:val="20"/>
          <w:lang w:eastAsia="en-US"/>
        </w:rPr>
      </w:pPr>
    </w:p>
    <w:sectPr w:rsidR="005A353A" w:rsidRPr="002A538C" w:rsidSect="00E84366">
      <w:headerReference w:type="default" r:id="rId13"/>
      <w:footerReference w:type="default" r:id="rId14"/>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D28A7" w14:textId="77777777" w:rsidR="00DF0EC3" w:rsidRDefault="00DF0EC3">
      <w:r>
        <w:separator/>
      </w:r>
    </w:p>
  </w:endnote>
  <w:endnote w:type="continuationSeparator" w:id="0">
    <w:p w14:paraId="47B3551A" w14:textId="77777777" w:rsidR="00DF0EC3" w:rsidRDefault="00DF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3902A" w14:textId="42765700"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417F1A">
      <w:rPr>
        <w:rStyle w:val="Seitenzahl"/>
        <w:rFonts w:ascii="Arial" w:hAnsi="Arial" w:cs="Arial"/>
        <w:noProof/>
        <w:sz w:val="18"/>
        <w:szCs w:val="18"/>
      </w:rPr>
      <w:t>5</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417F1A">
      <w:rPr>
        <w:rStyle w:val="Seitenzahl"/>
        <w:rFonts w:ascii="Arial" w:hAnsi="Arial" w:cs="Arial"/>
        <w:noProof/>
        <w:sz w:val="18"/>
        <w:szCs w:val="18"/>
      </w:rPr>
      <w:t>5</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73FC8" w14:textId="77777777" w:rsidR="00DF0EC3" w:rsidRDefault="00DF0EC3">
      <w:r>
        <w:separator/>
      </w:r>
    </w:p>
  </w:footnote>
  <w:footnote w:type="continuationSeparator" w:id="0">
    <w:p w14:paraId="7F3141C6" w14:textId="77777777" w:rsidR="00DF0EC3" w:rsidRDefault="00DF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4B386" w14:textId="77777777" w:rsidR="00F76584" w:rsidRPr="003D200C" w:rsidRDefault="00F76584" w:rsidP="007373ED">
    <w:pPr>
      <w:pStyle w:val="Kopfzeile"/>
      <w:tabs>
        <w:tab w:val="clear" w:pos="9072"/>
        <w:tab w:val="right" w:pos="9360"/>
      </w:tabs>
      <w:ind w:left="7799"/>
    </w:pPr>
    <w:r>
      <w:tab/>
      <w:t xml:space="preserve">          </w:t>
    </w:r>
    <w:r>
      <w:rPr>
        <w:noProof/>
        <w:lang w:val="de-DE" w:eastAsia="zh-CN"/>
      </w:rPr>
      <w:drawing>
        <wp:inline distT="0" distB="0" distL="0" distR="0" wp14:anchorId="17FE223D" wp14:editId="0B742B0C">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6EB7DDD7"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1EC669DC" w14:textId="6EB4572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w:t>
    </w:r>
    <w:r w:rsidR="008A557D">
      <w:rPr>
        <w:rFonts w:ascii="Arial" w:hAnsi="Arial"/>
        <w:sz w:val="16"/>
      </w:rPr>
      <w:t xml:space="preserve">    </w:t>
    </w:r>
    <w:r>
      <w:rPr>
        <w:rFonts w:ascii="Arial" w:hAnsi="Arial"/>
        <w:sz w:val="16"/>
      </w:rPr>
      <w:t>Automatisation INDEX</w:t>
    </w:r>
  </w:p>
  <w:p w14:paraId="3CD7CE00"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3E06AEDE"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216F3E76"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15497"/>
    <w:rsid w:val="000214D2"/>
    <w:rsid w:val="000223C7"/>
    <w:rsid w:val="0002718C"/>
    <w:rsid w:val="000330EB"/>
    <w:rsid w:val="00033FAB"/>
    <w:rsid w:val="00037DD6"/>
    <w:rsid w:val="000417E2"/>
    <w:rsid w:val="00042DA3"/>
    <w:rsid w:val="00046FB5"/>
    <w:rsid w:val="00055BAB"/>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A3085"/>
    <w:rsid w:val="001B1E13"/>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C12"/>
    <w:rsid w:val="00267FDD"/>
    <w:rsid w:val="0027071B"/>
    <w:rsid w:val="00270ADC"/>
    <w:rsid w:val="00284137"/>
    <w:rsid w:val="00284D73"/>
    <w:rsid w:val="00285D73"/>
    <w:rsid w:val="00294D30"/>
    <w:rsid w:val="00295D86"/>
    <w:rsid w:val="002A0A1F"/>
    <w:rsid w:val="002A538C"/>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636F"/>
    <w:rsid w:val="0030733E"/>
    <w:rsid w:val="00315814"/>
    <w:rsid w:val="003240E3"/>
    <w:rsid w:val="00334401"/>
    <w:rsid w:val="003426A8"/>
    <w:rsid w:val="00350072"/>
    <w:rsid w:val="00353117"/>
    <w:rsid w:val="00360228"/>
    <w:rsid w:val="00360722"/>
    <w:rsid w:val="0036385F"/>
    <w:rsid w:val="0036726E"/>
    <w:rsid w:val="00367F5D"/>
    <w:rsid w:val="0037311D"/>
    <w:rsid w:val="0037625A"/>
    <w:rsid w:val="0037738E"/>
    <w:rsid w:val="00377560"/>
    <w:rsid w:val="0037788C"/>
    <w:rsid w:val="00377F47"/>
    <w:rsid w:val="00381616"/>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1F5A"/>
    <w:rsid w:val="003E4D2B"/>
    <w:rsid w:val="003E5584"/>
    <w:rsid w:val="003F60D2"/>
    <w:rsid w:val="003F78B2"/>
    <w:rsid w:val="00406AB0"/>
    <w:rsid w:val="0041150F"/>
    <w:rsid w:val="00414CF2"/>
    <w:rsid w:val="00415A87"/>
    <w:rsid w:val="00415D03"/>
    <w:rsid w:val="00417F1A"/>
    <w:rsid w:val="004203A9"/>
    <w:rsid w:val="004204C8"/>
    <w:rsid w:val="00422AE3"/>
    <w:rsid w:val="00424E75"/>
    <w:rsid w:val="00426195"/>
    <w:rsid w:val="00432DD2"/>
    <w:rsid w:val="00433009"/>
    <w:rsid w:val="00443DDF"/>
    <w:rsid w:val="00446750"/>
    <w:rsid w:val="00447215"/>
    <w:rsid w:val="0045755D"/>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365D"/>
    <w:rsid w:val="004F6632"/>
    <w:rsid w:val="004F741B"/>
    <w:rsid w:val="00501800"/>
    <w:rsid w:val="005042F8"/>
    <w:rsid w:val="00504380"/>
    <w:rsid w:val="0051068B"/>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B65E3"/>
    <w:rsid w:val="005C021E"/>
    <w:rsid w:val="005C3AC3"/>
    <w:rsid w:val="005C6E5A"/>
    <w:rsid w:val="005C721F"/>
    <w:rsid w:val="005D014F"/>
    <w:rsid w:val="005D018C"/>
    <w:rsid w:val="005D5FB8"/>
    <w:rsid w:val="005E00FA"/>
    <w:rsid w:val="005E29EC"/>
    <w:rsid w:val="005E7D2D"/>
    <w:rsid w:val="005F3E24"/>
    <w:rsid w:val="005F3E80"/>
    <w:rsid w:val="005F55FF"/>
    <w:rsid w:val="005F5611"/>
    <w:rsid w:val="005F7A16"/>
    <w:rsid w:val="006027CB"/>
    <w:rsid w:val="006160DC"/>
    <w:rsid w:val="0062379F"/>
    <w:rsid w:val="00627581"/>
    <w:rsid w:val="00630673"/>
    <w:rsid w:val="006368BF"/>
    <w:rsid w:val="00637120"/>
    <w:rsid w:val="0065153A"/>
    <w:rsid w:val="00656679"/>
    <w:rsid w:val="00672561"/>
    <w:rsid w:val="006727C1"/>
    <w:rsid w:val="00675059"/>
    <w:rsid w:val="00677566"/>
    <w:rsid w:val="006803F7"/>
    <w:rsid w:val="00680B31"/>
    <w:rsid w:val="0068145C"/>
    <w:rsid w:val="00683EF2"/>
    <w:rsid w:val="00684280"/>
    <w:rsid w:val="00687B99"/>
    <w:rsid w:val="00693B92"/>
    <w:rsid w:val="00695EC9"/>
    <w:rsid w:val="00697B66"/>
    <w:rsid w:val="006A47BE"/>
    <w:rsid w:val="006A5028"/>
    <w:rsid w:val="006A588B"/>
    <w:rsid w:val="006A673A"/>
    <w:rsid w:val="006A6F2B"/>
    <w:rsid w:val="006B4984"/>
    <w:rsid w:val="006B66C3"/>
    <w:rsid w:val="006C0FD9"/>
    <w:rsid w:val="006C3E18"/>
    <w:rsid w:val="006C44E2"/>
    <w:rsid w:val="006D1B3E"/>
    <w:rsid w:val="006E0AE1"/>
    <w:rsid w:val="006E1B3D"/>
    <w:rsid w:val="006E6820"/>
    <w:rsid w:val="006F0499"/>
    <w:rsid w:val="006F1F9A"/>
    <w:rsid w:val="006F25E1"/>
    <w:rsid w:val="006F2CD8"/>
    <w:rsid w:val="006F7DCA"/>
    <w:rsid w:val="00704868"/>
    <w:rsid w:val="007048E3"/>
    <w:rsid w:val="0071341B"/>
    <w:rsid w:val="00713606"/>
    <w:rsid w:val="00717063"/>
    <w:rsid w:val="00717BFA"/>
    <w:rsid w:val="00727E85"/>
    <w:rsid w:val="00734673"/>
    <w:rsid w:val="007373ED"/>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557D"/>
    <w:rsid w:val="008A6D13"/>
    <w:rsid w:val="008B5385"/>
    <w:rsid w:val="008B58B8"/>
    <w:rsid w:val="008B765E"/>
    <w:rsid w:val="008C104C"/>
    <w:rsid w:val="008C3A38"/>
    <w:rsid w:val="008C4772"/>
    <w:rsid w:val="008C66BE"/>
    <w:rsid w:val="008D1A51"/>
    <w:rsid w:val="008D54E6"/>
    <w:rsid w:val="008D6EB5"/>
    <w:rsid w:val="008E1553"/>
    <w:rsid w:val="008E268C"/>
    <w:rsid w:val="008F1C00"/>
    <w:rsid w:val="00901621"/>
    <w:rsid w:val="00904D06"/>
    <w:rsid w:val="00904F52"/>
    <w:rsid w:val="00910A18"/>
    <w:rsid w:val="0091190A"/>
    <w:rsid w:val="00917F2E"/>
    <w:rsid w:val="009218D6"/>
    <w:rsid w:val="00926B09"/>
    <w:rsid w:val="0093136C"/>
    <w:rsid w:val="00933C0D"/>
    <w:rsid w:val="0094120E"/>
    <w:rsid w:val="00946D88"/>
    <w:rsid w:val="00955761"/>
    <w:rsid w:val="009661B7"/>
    <w:rsid w:val="00971814"/>
    <w:rsid w:val="00971F9F"/>
    <w:rsid w:val="00976D01"/>
    <w:rsid w:val="00980C02"/>
    <w:rsid w:val="00985312"/>
    <w:rsid w:val="00993817"/>
    <w:rsid w:val="00994501"/>
    <w:rsid w:val="009951D4"/>
    <w:rsid w:val="00995993"/>
    <w:rsid w:val="009A0DFB"/>
    <w:rsid w:val="009A2333"/>
    <w:rsid w:val="009A2376"/>
    <w:rsid w:val="009B4073"/>
    <w:rsid w:val="009B59B8"/>
    <w:rsid w:val="009C133D"/>
    <w:rsid w:val="009C1E01"/>
    <w:rsid w:val="009C2CB3"/>
    <w:rsid w:val="009C44F2"/>
    <w:rsid w:val="009D31CF"/>
    <w:rsid w:val="009E1274"/>
    <w:rsid w:val="009E1C1C"/>
    <w:rsid w:val="009E4663"/>
    <w:rsid w:val="009E6EA1"/>
    <w:rsid w:val="009F163D"/>
    <w:rsid w:val="009F28B1"/>
    <w:rsid w:val="009F3B72"/>
    <w:rsid w:val="009F446A"/>
    <w:rsid w:val="009F5052"/>
    <w:rsid w:val="009F790F"/>
    <w:rsid w:val="009F7F05"/>
    <w:rsid w:val="00A269CE"/>
    <w:rsid w:val="00A31643"/>
    <w:rsid w:val="00A32630"/>
    <w:rsid w:val="00A37279"/>
    <w:rsid w:val="00A37BBA"/>
    <w:rsid w:val="00A45B44"/>
    <w:rsid w:val="00A50F9C"/>
    <w:rsid w:val="00A50FCC"/>
    <w:rsid w:val="00A53DF8"/>
    <w:rsid w:val="00A662A5"/>
    <w:rsid w:val="00A70851"/>
    <w:rsid w:val="00A716C4"/>
    <w:rsid w:val="00A72BAE"/>
    <w:rsid w:val="00A73611"/>
    <w:rsid w:val="00A73987"/>
    <w:rsid w:val="00A769FD"/>
    <w:rsid w:val="00A7749A"/>
    <w:rsid w:val="00A81CD2"/>
    <w:rsid w:val="00A839F0"/>
    <w:rsid w:val="00A83A93"/>
    <w:rsid w:val="00A83F0A"/>
    <w:rsid w:val="00A84A49"/>
    <w:rsid w:val="00A94162"/>
    <w:rsid w:val="00A95DB7"/>
    <w:rsid w:val="00A96370"/>
    <w:rsid w:val="00AA49F6"/>
    <w:rsid w:val="00AA4DE4"/>
    <w:rsid w:val="00AB253A"/>
    <w:rsid w:val="00AB5101"/>
    <w:rsid w:val="00AC2129"/>
    <w:rsid w:val="00AC37E7"/>
    <w:rsid w:val="00AD1B3A"/>
    <w:rsid w:val="00AD5157"/>
    <w:rsid w:val="00AE1178"/>
    <w:rsid w:val="00AE220D"/>
    <w:rsid w:val="00AE64C2"/>
    <w:rsid w:val="00AF04B8"/>
    <w:rsid w:val="00B05448"/>
    <w:rsid w:val="00B062A9"/>
    <w:rsid w:val="00B106E6"/>
    <w:rsid w:val="00B143BF"/>
    <w:rsid w:val="00B273EC"/>
    <w:rsid w:val="00B30DFE"/>
    <w:rsid w:val="00B32197"/>
    <w:rsid w:val="00B33C24"/>
    <w:rsid w:val="00B408AC"/>
    <w:rsid w:val="00B44177"/>
    <w:rsid w:val="00B44AA4"/>
    <w:rsid w:val="00B50378"/>
    <w:rsid w:val="00B6086D"/>
    <w:rsid w:val="00B60D19"/>
    <w:rsid w:val="00B611AA"/>
    <w:rsid w:val="00B61619"/>
    <w:rsid w:val="00B6229B"/>
    <w:rsid w:val="00B71BC4"/>
    <w:rsid w:val="00B724D5"/>
    <w:rsid w:val="00B76920"/>
    <w:rsid w:val="00B87AC5"/>
    <w:rsid w:val="00B9037B"/>
    <w:rsid w:val="00B959A6"/>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1110"/>
    <w:rsid w:val="00C154E1"/>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A5959"/>
    <w:rsid w:val="00CB3691"/>
    <w:rsid w:val="00CC2163"/>
    <w:rsid w:val="00CC3F7A"/>
    <w:rsid w:val="00CC7AA6"/>
    <w:rsid w:val="00CD0992"/>
    <w:rsid w:val="00CD59EA"/>
    <w:rsid w:val="00CD6D21"/>
    <w:rsid w:val="00CE0DA3"/>
    <w:rsid w:val="00CE3C6A"/>
    <w:rsid w:val="00CE4C4B"/>
    <w:rsid w:val="00CE5DA1"/>
    <w:rsid w:val="00CE6586"/>
    <w:rsid w:val="00CE673B"/>
    <w:rsid w:val="00CF3E31"/>
    <w:rsid w:val="00D04BF0"/>
    <w:rsid w:val="00D14773"/>
    <w:rsid w:val="00D15798"/>
    <w:rsid w:val="00D16F4D"/>
    <w:rsid w:val="00D21504"/>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0EC3"/>
    <w:rsid w:val="00DF72D5"/>
    <w:rsid w:val="00E012F8"/>
    <w:rsid w:val="00E07D31"/>
    <w:rsid w:val="00E07DAF"/>
    <w:rsid w:val="00E1488A"/>
    <w:rsid w:val="00E148DF"/>
    <w:rsid w:val="00E17752"/>
    <w:rsid w:val="00E217FF"/>
    <w:rsid w:val="00E24CCC"/>
    <w:rsid w:val="00E303AC"/>
    <w:rsid w:val="00E35A69"/>
    <w:rsid w:val="00E3784D"/>
    <w:rsid w:val="00E37B19"/>
    <w:rsid w:val="00E43483"/>
    <w:rsid w:val="00E462F7"/>
    <w:rsid w:val="00E571FC"/>
    <w:rsid w:val="00E57B74"/>
    <w:rsid w:val="00E6620E"/>
    <w:rsid w:val="00E7402D"/>
    <w:rsid w:val="00E74DB2"/>
    <w:rsid w:val="00E82AA1"/>
    <w:rsid w:val="00E84366"/>
    <w:rsid w:val="00E879C0"/>
    <w:rsid w:val="00E905AC"/>
    <w:rsid w:val="00E93E16"/>
    <w:rsid w:val="00E94870"/>
    <w:rsid w:val="00EA402B"/>
    <w:rsid w:val="00EA613C"/>
    <w:rsid w:val="00EA7A1A"/>
    <w:rsid w:val="00EB31E0"/>
    <w:rsid w:val="00EB7121"/>
    <w:rsid w:val="00EC0EE6"/>
    <w:rsid w:val="00EC3D9F"/>
    <w:rsid w:val="00EC4279"/>
    <w:rsid w:val="00EC58B3"/>
    <w:rsid w:val="00EC72BC"/>
    <w:rsid w:val="00EE1219"/>
    <w:rsid w:val="00EE5A18"/>
    <w:rsid w:val="00EF1934"/>
    <w:rsid w:val="00EF7037"/>
    <w:rsid w:val="00F01E4A"/>
    <w:rsid w:val="00F0517F"/>
    <w:rsid w:val="00F10062"/>
    <w:rsid w:val="00F10547"/>
    <w:rsid w:val="00F26A5A"/>
    <w:rsid w:val="00F2707A"/>
    <w:rsid w:val="00F32C8A"/>
    <w:rsid w:val="00F33DC6"/>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31EA"/>
    <w:rsid w:val="00FB5DE6"/>
    <w:rsid w:val="00FB5E28"/>
    <w:rsid w:val="00FB7314"/>
    <w:rsid w:val="00FB740A"/>
    <w:rsid w:val="00FC354D"/>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C1D7679"/>
  <w15:docId w15:val="{B22D9181-F283-4F91-8E5D-1111A02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E919-F667-40C6-9E03-2C302A3EA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6314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PI INDEX Automatisierung</vt:lpstr>
    </vt:vector>
  </TitlesOfParts>
  <Company>INDEX-Werke GmbH &amp; Co. KG</Company>
  <LinksUpToDate>false</LinksUpToDate>
  <CharactersWithSpaces>7412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Automatisierung</dc:title>
  <dc:creator>INDEX-Werke GmbH &amp; Co. KG</dc:creator>
  <cp:lastModifiedBy>Janke, Nicole</cp:lastModifiedBy>
  <cp:revision>10</cp:revision>
  <cp:lastPrinted>2020-03-17T11:02:00Z</cp:lastPrinted>
  <dcterms:created xsi:type="dcterms:W3CDTF">2020-03-12T17:02:00Z</dcterms:created>
  <dcterms:modified xsi:type="dcterms:W3CDTF">2020-07-14T05:21:00Z</dcterms:modified>
</cp:coreProperties>
</file>